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Imaging Report Recall and Amendment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AAC.8.h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recalls or amends an imaging report, ensuring no incorrect report remains in use anywhere in the hospital.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any imaging report found to be incorrect after issue, whether generated in-house, outsourced, or via teleradiology.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Imaging In-Charge: </w:t>
      </w:r>
      <w:r>
        <w:t xml:space="preserve">authorises every recall and confirms full withdrawal before closing the case.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The moment an incorrect report is identified, log it in the Recall / Amendment Log with the reason.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Withdraw the recalled report from every location it could exist — clinical areas, the medical record, the RIS, and the HIS.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Issue the amended report with a clear notice that it supersedes the earlier version, where the earlier report was already given to the patient or clinical team.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Open a CAPA record for the root cause of the error and track it to closure.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Records 22–24 of the AAC.8 Required Records pack.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Imaging Services (HCO/AAC/POL/08) — AAC.8 policy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annually, or sooner after a recurring recall pattern.</w:t>
      </w:r>
    </w:p>
    <w:p>
      <w:pPr>
        <w:pStyle w:val="Heading1"/>
        <w:spacing w:after="150" w:before="30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American College of Radiology. (n.d.). ACR practice parameter for communication of diagnostic imaging findings. </w:t>
      </w:r>
      <w:hyperlink r:id="rId8">
        <w:r>
          <w:rPr>
            <w:color w:val="0563C1"/>
            <w:u w:val="single"/>
          </w:rPr>
          <w:t>https://www.acr.org/-/media/ACR/Files/Practice-Parameters/CommunicationDiag.pdf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acr.org/-/media/ACR/Files/Practice-Parameters/CommunicationDiag.pdf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2026-09-14T11:34:36.255Z</dcterms:created>
  <dcterms:modified xsi:type="dcterms:W3CDTF">2026-09-14T11:34:36.255Z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