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Anaesthesia Care — Pre-Anaesthesia Through Recovery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COP.13.b through COP.13.j (Stop-Work)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plans, delivers, and monitors anaesthesia from pre-assessment through recovery and transfer, with the anaesthesiologist present throughout.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general and regional anaesthesia. Local anaesthesia is outside the scope of this SOP.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Anaesthesiologist: </w:t>
      </w:r>
      <w:r>
        <w:t xml:space="preserve">completes every assessment, is present throughout the procedure, and applies transfer criteria at recovery.</w:t>
      </w:r>
    </w:p>
    <w:p>
      <w:pPr>
        <w:spacing w:after="100"/>
      </w:pPr>
      <w:r>
        <w:rPr>
          <w:b/>
          <w:bCs/>
        </w:rPr>
        <w:t xml:space="preserve">OT/Recovery Nursing Staff: </w:t>
      </w:r>
      <w:r>
        <w:t xml:space="preserve">supports monitoring and documentation throughout.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pStyle w:val="Heading2"/>
        <w:spacing w:after="100" w:before="250"/>
      </w:pPr>
      <w:r>
        <w:t xml:space="preserve">4.1 Pre-anaesthesia assessment and plan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Complete a pre-anaesthesia assessment for every patient, routine or emergency, before OT — by a qualified anaesthesiologist.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Review the patient's current medications and document the review.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Document an anaesthesia plan covering pre-medications, type/agent/dose, special requirements, and anticipated post-anaesthesia care.</w:t>
      </w:r>
    </w:p>
    <w:p>
      <w:pPr>
        <w:pStyle w:val="Heading2"/>
        <w:spacing w:after="100" w:before="250"/>
      </w:pPr>
      <w:r>
        <w:t xml:space="preserve">4.2 Pre-induction assessment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Complete a pre-induction assessment immediately before induction, by an anaesthesiologist. Document any change to the plan.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In urgent cases, document each assessment separately even where done sequentially or simultaneously with other steps.</w:t>
      </w:r>
    </w:p>
    <w:p>
      <w:pPr>
        <w:pStyle w:val="Heading2"/>
        <w:spacing w:after="100" w:before="250"/>
      </w:pPr>
      <w:r>
        <w:t xml:space="preserve">4.3 Consent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Take anaesthesia consent separately from surgical consent, obtained by the anaesthesiologist.</w:t>
      </w:r>
    </w:p>
    <w:p>
      <w:pPr>
        <w:pStyle w:val="Heading2"/>
        <w:spacing w:after="100" w:before="250"/>
      </w:pPr>
      <w:r>
        <w:t xml:space="preserve">4.4 Intra-anaesthesia monitoring</w:t>
      </w:r>
    </w:p>
    <w:p>
      <w:pPr>
        <w:spacing w:after="120"/>
      </w:pPr>
      <w:r>
        <w:rPr>
          <w:b/>
          <w:bCs/>
        </w:rPr>
        <w:t xml:space="preserve">1. </w:t>
      </w:r>
      <w:r>
        <w:t>Monitor continuously: temperature, heart rate, cardiac rhythm, respiratory rate, blood pressure, oxygen saturation, and ETCO2 (end-tidal carbon dioxide, measured via capnography). For regional anaesthesia, use continual qualitative observation of ventilation in place of ETCO2.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The anaesthesiologist is present throughout the entire procedure — this is an absolute requirement, with no routine exception.</w:t>
      </w:r>
    </w:p>
    <w:p>
      <w:pPr>
        <w:pStyle w:val="Heading2"/>
        <w:spacing w:after="100" w:before="250"/>
      </w:pPr>
      <w:r>
        <w:t xml:space="preserve">4.5 Post-anaesthesia monitoring and transfer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Monitor vitals until complete recovery, in the recovery area, OT, or ICU as clinically appropriate.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Apply documented transfer criteria before moving the patient out of recovery — the anaesthesiologist confirms and records this for every patient.</w:t>
      </w:r>
    </w:p>
    <w:p>
      <w:pPr>
        <w:pStyle w:val="Heading2"/>
        <w:spacing w:after="100" w:before="250"/>
      </w:pPr>
      <w:r>
        <w:t xml:space="preserve">4.6 Documentation and safety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Complete the anaesthesia chart for every patient: anaesthesiologist's name, assistants' names/designations, type of anaesthesia, medications, and date/time/signature.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Follow the hospital's IPC guidelines for anaesthesia procedures.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Log every intra-operative adverse anaesthesia event against the organisation's defined list, and apply CAPA.</w:t>
      </w:r>
    </w:p>
    <w:p>
      <w:pPr>
        <w:pStyle w:val="Heading1"/>
        <w:spacing w:after="150" w:before="300"/>
      </w:pPr>
      <w:r>
        <w:t xml:space="preserve">5. Stop-Work Authority</w:t>
      </w:r>
    </w:p>
    <w:p>
      <w:pPr>
        <w:spacing w:after="150"/>
      </w:pPr>
      <w:r>
        <w:t xml:space="preserve">Do not begin anaesthesia without a completed pre-anaesthesia and pre-induction assessment.</w:t>
      </w:r>
    </w:p>
    <w:p>
      <w:pPr>
        <w:spacing w:after="150"/>
      </w:pPr>
      <w:r>
        <w:t xml:space="preserve">Do not leave the patient without a present anaesthesiologist at any point during general or regional anaesthesia, except where a documented emergency requires temporary absence per the responsible anaesthesiologist's judgement.</w:t>
      </w:r>
    </w:p>
    <w:p>
      <w:pPr>
        <w:spacing w:after="150"/>
      </w:pPr>
      <w:r>
        <w:t xml:space="preserve">Do not transfer a patient from recovery without documented application of the transfer criteria.</w:t>
      </w:r>
    </w:p>
    <w:p>
      <w:pPr>
        <w:spacing w:after="150"/>
      </w:pPr>
      <w:r>
        <w:t xml:space="preserve">Raising an incomplete assessment or absent anaesthesiologist before proceeding is never a disciplinary matter.</w:t>
      </w:r>
    </w:p>
    <w:p>
      <w:pPr>
        <w:pStyle w:val="Heading1"/>
        <w:spacing w:after="150" w:before="300"/>
      </w:pPr>
      <w:r>
        <w:t xml:space="preserve">6. Records</w:t>
      </w:r>
    </w:p>
    <w:p>
      <w:pPr>
        <w:spacing w:after="150"/>
      </w:pPr>
      <w:r>
        <w:t xml:space="preserve">Supported by all 11 records in the COP.13 Required Records pack.</w:t>
      </w:r>
    </w:p>
    <w:p>
      <w:pPr>
        <w:pStyle w:val="Heading1"/>
        <w:spacing w:after="150" w:before="30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Anaesthesia Services (HCO/COP/POL/13) — COP.13 policy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SOP — Procedural Sedation Administration (COP.12)</w:t>
      </w:r>
    </w:p>
    <w:p>
      <w:pPr>
        <w:pStyle w:val="Heading1"/>
        <w:spacing w:after="150" w:before="300"/>
      </w:pPr>
      <w:r>
        <w:t xml:space="preserve">8. Review</w:t>
      </w:r>
    </w:p>
    <w:p>
      <w:pPr>
        <w:spacing w:after="150"/>
      </w:pPr>
      <w:r>
        <w:t xml:space="preserve">Reviewed annually, and immediately after any intra-operative adverse anaesthesia event.</w:t>
      </w:r>
    </w:p>
    <w:p>
      <w:pPr>
        <w:pStyle w:val="Heading1"/>
        <w:spacing w:after="150" w:before="300"/>
      </w:pPr>
      <w:r>
        <w:t xml:space="preserve">9. References</w:t>
      </w:r>
    </w:p>
    <w:p>
      <w:pPr>
        <w:pStyle w:val="ListParagraph"/>
        <w:numPr>
          <w:ilvl w:val="0"/>
          <w:numId w:val="1"/>
        </w:numPr>
        <w:spacing w:after="80"/>
      </w:pPr>
      <w:hyperlink r:id="rId8">
        <w:r>
          <w:rPr>
            <w:color w:val="0563C1"/>
            <w:u w:val="single"/>
          </w:rPr>
          <w:t>https://www.asahq.org/standards-and-practice-parameters/standards-for-basic-anesthetic-monitoring</w:t>
        </w:r>
      </w:hyperlink>
      <w:r>
        <w:rPr/>
        <w:t xml:space="preserve">American Society of Anesthesiologists. (2020, December 13). Standards for basic anesthetic monitoring. </w:t>
      </w:r>
      <w:hyperlink r:id="rId8">
        <w:r>
          <w:rPr>
            <w:color w:val="0563C1"/>
            <w:u w:val="single"/>
          </w:rPr>
          <w:t>https://www.asahq.org/standards-and-practice-parameters/standards-for-basic-anesthetic-monitoring</w:t>
        </w:r>
      </w:hyperlink>
      <w:r>
        <w:rPr/>
        <w:t xml:space="preserve"> — the continuous-presence and monitoring-parameter requirements in this SOP are adapted from this standard.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asahq.org/standards-and-practice-parameters/standards-for-basic-anesthetic-monitoring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2026-09-18T13:03:38.993Z</dcterms:created>
  <dcterms:modified xsi:type="dcterms:W3CDTF">2026-09-18T13:03:39.001Z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