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32"/>
          <w:szCs w:val="32"/>
        </w:rPr>
        <w:t xml:space="preserve">Standard Operating Procedure</w:t>
      </w:r>
    </w:p>
    <w:p>
      <w:pPr>
        <w:spacing w:after="60"/>
      </w:pPr>
      <w:r>
        <w:rPr>
          <w:b/>
          <w:bCs/>
          <w:color w:val="444444"/>
          <w:sz w:val="26"/>
          <w:szCs w:val="26"/>
        </w:rPr>
        <w:t xml:space="preserve">Surgical Safety Checklist — Site Marking, Time-Out and Sign-Out</w:t>
      </w:r>
    </w:p>
    <w:p>
      <w:pPr>
        <w:spacing w:after="250"/>
      </w:pPr>
      <w:r>
        <w:rPr>
          <w:i/>
          <w:iCs/>
          <w:color w:val="666666"/>
        </w:rPr>
        <w:t xml:space="preserve">«Hospital Name» — Supports COP.14.d, COP.14.e (CORE Stop-Work)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SOP No.</w:t>
            </w:r>
          </w:p>
        </w:tc>
        <w:tc>
          <w:tcPr>
            <w:tcW w:type="dxa" w:w="2340"/>
            <w:gridSpan w:val="1"/>
          </w:tcPr>
          <w:p>
            <w:r>
              <w:t xml:space="preserve">[Hospital to define]</w:t>
            </w:r>
          </w:p>
        </w:tc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Version</w:t>
            </w:r>
          </w:p>
        </w:tc>
        <w:tc>
          <w:tcPr>
            <w:tcW w:type="dxa" w:w="2340"/>
            <w:gridSpan w:val="1"/>
          </w:tcPr>
          <w:p>
            <w:r>
              <w:t xml:space="preserve">1.0</w:t>
            </w:r>
          </w:p>
        </w:tc>
      </w:tr>
      <w:tr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Effective Date</w:t>
            </w:r>
          </w:p>
        </w:tc>
        <w:tc>
          <w:tcPr>
            <w:tcW w:type="dxa" w:w="2340"/>
            <w:gridSpan w:val="1"/>
          </w:tcPr>
          <w:p>
            <w:r>
              <w:t xml:space="preserve">________</w:t>
            </w:r>
          </w:p>
        </w:tc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Review Frequency</w:t>
            </w:r>
          </w:p>
        </w:tc>
        <w:tc>
          <w:tcPr>
            <w:tcW w:type="dxa" w:w="2340"/>
            <w:gridSpan w:val="1"/>
          </w:tcPr>
          <w:p>
            <w:r>
              <w:t xml:space="preserve">Annual, or on change</w:t>
            </w:r>
          </w:p>
        </w:tc>
      </w:tr>
      <w:tr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Prepared By</w:t>
            </w:r>
          </w:p>
        </w:tc>
        <w:tc>
          <w:tcPr>
            <w:tcW w:type="dxa" w:w="7020"/>
            <w:gridSpan w:val="3"/>
          </w:tcPr>
          <w:p>
            <w:r>
              <w:t xml:space="preserve">Quality Coordinator   Name: ________   Signature: ________</w:t>
            </w:r>
          </w:p>
        </w:tc>
      </w:tr>
      <w:tr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Approved By</w:t>
            </w:r>
          </w:p>
        </w:tc>
        <w:tc>
          <w:tcPr>
            <w:tcW w:type="dxa" w:w="7020"/>
            <w:gridSpan w:val="3"/>
          </w:tcPr>
          <w:p>
            <w:r>
              <w:t xml:space="preserve">Medical Superintendent   Name: ________   Signature: ________</w:t>
            </w:r>
          </w:p>
        </w:tc>
      </w:tr>
    </w:tbl>
    <w:p>
      <w:pPr>
        <w:spacing w:after="250"/>
      </w:pPr>
    </w:p>
    <w:p>
      <w:pPr>
        <w:pStyle w:val="Heading1"/>
        <w:spacing w:after="150" w:before="300"/>
      </w:pPr>
      <w:r>
        <w:t xml:space="preserve">1. Purpose</w:t>
      </w:r>
    </w:p>
    <w:p>
      <w:pPr>
        <w:spacing w:after="150"/>
      </w:pPr>
      <w:r>
        <w:t xml:space="preserve">This SOP describes how «Hospital Name» prevents wrong-patient, wrong-site, and wrong-procedure surgery through site marking, a mandatory time-out, and a documented sign-out before the patient leaves the operating theatre.</w:t>
      </w:r>
    </w:p>
    <w:p>
      <w:pPr>
        <w:pStyle w:val="Heading1"/>
        <w:spacing w:after="150" w:before="300"/>
      </w:pPr>
      <w:r>
        <w:t xml:space="preserve">2. Scope</w:t>
      </w:r>
    </w:p>
    <w:p>
      <w:pPr>
        <w:spacing w:after="150"/>
      </w:pPr>
      <w:r>
        <w:t xml:space="preserve">Applies to every surgical procedure, and to any invasive procedure involving laterality, multiple structures, or multiple levels.</w:t>
      </w:r>
    </w:p>
    <w:p>
      <w:pPr>
        <w:pStyle w:val="Heading1"/>
        <w:spacing w:after="150" w:before="300"/>
      </w:pPr>
      <w:r>
        <w:t xml:space="preserve">3. Responsibility</w:t>
      </w:r>
    </w:p>
    <w:p>
      <w:pPr>
        <w:spacing w:after="100"/>
      </w:pPr>
      <w:r>
        <w:rPr>
          <w:b/>
          <w:bCs/>
        </w:rPr>
        <w:t xml:space="preserve">Operating Surgeon: </w:t>
      </w:r>
      <w:r>
        <w:t xml:space="preserve">marks the site, leads the time-out, and confirms the sign-out.</w:t>
      </w:r>
    </w:p>
    <w:p>
      <w:pPr>
        <w:spacing w:after="100"/>
      </w:pPr>
      <w:r>
        <w:rPr>
          <w:b/>
          <w:bCs/>
        </w:rPr>
        <w:t xml:space="preserve">Entire OT Team: </w:t>
      </w:r>
      <w:r>
        <w:t xml:space="preserve">every member present and actively participating in the time-out — this is not one person's job.</w:t>
      </w:r>
    </w:p>
    <w:p>
      <w:pPr>
        <w:spacing w:after="100"/>
      </w:pPr>
      <w:r>
        <w:rPr>
          <w:b/>
          <w:bCs/>
        </w:rPr>
        <w:t xml:space="preserve">Circulating Nurse: </w:t>
      </w:r>
      <w:r>
        <w:t xml:space="preserve">documents the time-out and sign-out in the patient record.</w:t>
      </w:r>
    </w:p>
    <w:p>
      <w:pPr>
        <w:pStyle w:val="Heading1"/>
        <w:spacing w:after="150" w:before="300"/>
      </w:pPr>
      <w:r>
        <w:t xml:space="preserve">4. Procedure</w:t>
      </w:r>
    </w:p>
    <w:p>
      <w:pPr>
        <w:pStyle w:val="Heading2"/>
        <w:spacing w:after="100" w:before="250"/>
      </w:pPr>
      <w:r>
        <w:t xml:space="preserve">4.1 Site marking</w:t>
      </w:r>
    </w:p>
    <w:p>
      <w:pPr>
        <w:spacing w:after="120"/>
      </w:pPr>
      <w:r>
        <w:rPr>
          <w:b/>
          <w:bCs/>
        </w:rPr>
        <w:t xml:space="preserve">1. </w:t>
      </w:r>
      <w:r>
        <w:t xml:space="preserve">Mark the site for every procedure involving laterality (left/right), multiple structures (e.g. fingers, toes), or multiple levels (e.g. spine).</w:t>
      </w:r>
    </w:p>
    <w:p>
      <w:pPr>
        <w:spacing w:after="120"/>
      </w:pPr>
      <w:r>
        <w:rPr>
          <w:b/>
          <w:bCs/>
        </w:rPr>
        <w:t xml:space="preserve">2. </w:t>
      </w:r>
      <w:r>
        <w:t xml:space="preserve">Make the mark unambiguous, using a method that remains visible after skin preparation and draping.</w:t>
      </w:r>
    </w:p>
    <w:p>
      <w:pPr>
        <w:spacing w:after="120"/>
      </w:pPr>
      <w:r>
        <w:rPr>
          <w:b/>
          <w:bCs/>
        </w:rPr>
        <w:t xml:space="preserve">3. </w:t>
      </w:r>
      <w:r>
        <w:t xml:space="preserve">Involve the patient or relative in confirming the site whenever possible, before the patient is sedated.</w:t>
      </w:r>
    </w:p>
    <w:p>
      <w:pPr>
        <w:pStyle w:val="Heading2"/>
        <w:spacing w:after="100" w:before="250"/>
      </w:pPr>
      <w:r>
        <w:t xml:space="preserve">4.2 Time-out — before skin incision</w:t>
      </w:r>
    </w:p>
    <w:p>
      <w:pPr>
        <w:spacing w:after="120"/>
      </w:pPr>
      <w:r>
        <w:rPr>
          <w:b/>
          <w:bCs/>
        </w:rPr>
        <w:t xml:space="preserve">1. </w:t>
      </w:r>
      <w:r>
        <w:t xml:space="preserve">Pause the entire team immediately before incision. Do not proceed until this step is complete.</w:t>
      </w:r>
    </w:p>
    <w:p>
      <w:pPr>
        <w:spacing w:after="120"/>
      </w:pPr>
      <w:r>
        <w:rPr>
          <w:b/>
          <w:bCs/>
        </w:rPr>
        <w:t xml:space="preserve">2. </w:t>
      </w:r>
      <w:r>
        <w:t xml:space="preserve">Confirm aloud, with every team member's active agreement: correct patient identity, correct procedure, and correct surgical site.</w:t>
      </w:r>
    </w:p>
    <w:p>
      <w:pPr>
        <w:spacing w:after="120"/>
      </w:pPr>
      <w:r>
        <w:rPr>
          <w:b/>
          <w:bCs/>
        </w:rPr>
        <w:t xml:space="preserve">3. </w:t>
      </w:r>
      <w:r>
        <w:t xml:space="preserve">Any team member — regardless of role or seniority — has the authority to stop the time-out if something doesn't match. Resolve the discrepancy before proceeding.</w:t>
      </w:r>
    </w:p>
    <w:p>
      <w:pPr>
        <w:spacing w:after="120"/>
      </w:pPr>
      <w:r>
        <w:rPr>
          <w:b/>
          <w:bCs/>
        </w:rPr>
        <w:t xml:space="preserve">4. </w:t>
      </w:r>
      <w:r>
        <w:t xml:space="preserve">Document the time-out in the patient record, including that all three elements were confirmed and by whom.</w:t>
      </w:r>
    </w:p>
    <w:p>
      <w:pPr>
        <w:pStyle w:val="Heading2"/>
        <w:spacing w:after="100" w:before="250"/>
      </w:pPr>
      <w:r>
        <w:t xml:space="preserve">4.3 Sign-out — before the patient leaves the OT</w:t>
      </w:r>
    </w:p>
    <w:p>
      <w:pPr>
        <w:spacing w:after="120"/>
      </w:pPr>
      <w:r>
        <w:rPr>
          <w:b/>
          <w:bCs/>
        </w:rPr>
        <w:t xml:space="preserve">1. </w:t>
      </w:r>
      <w:r>
        <w:t xml:space="preserve">Before the patient leaves the operating theatre, the team confirms: the procedure performed, instrument/sponge/needle counts are correct, specimens are correctly labelled, and any equipment issues are noted for follow-up.</w:t>
      </w:r>
    </w:p>
    <w:p>
      <w:pPr>
        <w:spacing w:after="120"/>
      </w:pPr>
      <w:r>
        <w:rPr>
          <w:b/>
          <w:bCs/>
        </w:rPr>
        <w:t xml:space="preserve">2. </w:t>
      </w:r>
      <w:r>
        <w:t xml:space="preserve">Document the sign-out in the patient record.</w:t>
      </w:r>
    </w:p>
    <w:p>
      <w:pPr>
        <w:pStyle w:val="Heading1"/>
        <w:spacing w:after="150" w:before="300"/>
      </w:pPr>
      <w:r>
        <w:t xml:space="preserve">5. Stop-Work Authority</w:t>
      </w:r>
    </w:p>
    <w:p>
      <w:pPr>
        <w:spacing w:after="150"/>
      </w:pPr>
      <w:r>
        <w:t xml:space="preserve">Do not begin the incision without a completed, documented time-out confirming patient identity, procedure, and site.</w:t>
      </w:r>
    </w:p>
    <w:p>
      <w:pPr>
        <w:spacing w:after="150"/>
      </w:pPr>
      <w:r>
        <w:t xml:space="preserve">Any team member who identifies a mismatch or an incomplete time-out stops the procedure from proceeding until it is resolved — this includes junior staff stopping a senior surgeon.</w:t>
      </w:r>
    </w:p>
    <w:p>
      <w:pPr>
        <w:spacing w:after="150"/>
      </w:pPr>
      <w:r>
        <w:t xml:space="preserve">Stop-work applies to elective progression of the procedure — it does not block emergency life-saving intervention already underway.</w:t>
      </w:r>
    </w:p>
    <w:p>
      <w:pPr>
        <w:spacing w:after="150"/>
      </w:pPr>
      <w:r>
        <w:t xml:space="preserve">The person who stops documents what was found and how it was resolved. Stopping an incomplete time-out is not a disciplinary matter, for any team member regardless of seniority.</w:t>
      </w:r>
    </w:p>
    <w:p>
      <w:pPr>
        <w:pStyle w:val="Heading1"/>
        <w:spacing w:after="150" w:before="300"/>
      </w:pPr>
      <w:r>
        <w:t xml:space="preserve">6. Records</w:t>
      </w:r>
    </w:p>
    <w:p>
      <w:pPr>
        <w:spacing w:after="150"/>
      </w:pPr>
      <w:r>
        <w:t xml:space="preserve">Supported by Records 4 and 5 of the COP.14 Required Records pack: Site-Marking Record and Time-Out Record.</w:t>
      </w:r>
    </w:p>
    <w:p>
      <w:pPr>
        <w:pStyle w:val="Heading1"/>
        <w:spacing w:after="150" w:before="300"/>
      </w:pPr>
      <w:r>
        <w:t xml:space="preserve">7. Related Documents</w:t>
      </w:r>
    </w:p>
    <w:p>
      <w:pPr>
        <w:pStyle w:val="ListParagraph"/>
        <w:numPr>
          <w:ilvl w:val="0"/>
          <w:numId w:val="1"/>
        </w:numPr>
        <w:spacing w:after="80"/>
      </w:pPr>
      <w:r>
        <w:t>Policy on Surgical Services (HCO/COP/POL/14) — COP.14 policy</w:t>
      </w:r>
    </w:p>
    <w:p>
      <w:pPr>
        <w:pStyle w:val="Heading1"/>
        <w:spacing w:after="150" w:before="300"/>
      </w:pPr>
      <w:r>
        <w:t xml:space="preserve">8. Review</w:t>
      </w:r>
    </w:p>
    <w:p>
      <w:pPr>
        <w:spacing w:after="150"/>
      </w:pPr>
      <w:r>
        <w:t xml:space="preserve">Reviewed annually, and immediately after any wrong-site or wrong-procedure near-miss.</w:t>
      </w:r>
    </w:p>
    <w:p>
      <w:pPr>
        <w:pStyle w:val="Heading1"/>
        <w:spacing w:after="150" w:before="300"/>
      </w:pPr>
      <w:r>
        <w:t xml:space="preserve">9. References</w:t>
      </w:r>
    </w:p>
    <w:p>
      <w:pPr>
        <w:pStyle w:val="ListParagraph"/>
        <w:numPr>
          <w:ilvl w:val="0"/>
          <w:numId w:val="1"/>
        </w:numPr>
        <w:spacing w:after="80"/>
      </w:pPr>
      <w:hyperlink r:id="rId8">
        <w:r>
          <w:rPr>
            <w:color w:val="0563C1"/>
            <w:u w:val="single"/>
          </w:rPr>
          <w:t>https://iris.who.int/items/08d5cc88-060c-4f03-8a94-330c095d49bc</w:t>
        </w:r>
      </w:hyperlink>
      <w:r>
        <w:rPr/>
        <w:t xml:space="preserve">World Health Organization. (2008). WHO Surgical Safety Checklist (first edition). </w:t>
      </w:r>
      <w:hyperlink r:id="rId8">
        <w:r>
          <w:rPr>
            <w:color w:val="0563C1"/>
            <w:u w:val="single"/>
          </w:rPr>
          <w:t>https://iris.who.int/items/08d5cc88-060c-4f03-8a94-330c095d49bc</w:t>
        </w:r>
      </w:hyperlink>
      <w:r>
        <w:rPr/>
        <w:t xml:space="preserve"> — the Time-Out and Sign-Out structure in this SOP is adapted from the WHO checklist's three-phase model (Sign In, Time Out, Sign Out).</w:t>
      </w:r>
    </w:p>
    <w:p>
      <w:pPr>
        <w:pStyle w:val="ListParagraph"/>
        <w:numPr>
          <w:ilvl w:val="0"/>
          <w:numId w:val="1"/>
        </w:numPr>
        <w:spacing w:after="80"/>
      </w:pPr>
      <w:hyperlink r:id="rId9">
        <w:r>
          <w:rPr>
            <w:color w:val="0563C1"/>
            <w:u w:val="single"/>
          </w:rPr>
          <w:t>https://doi.org/10.1056/NEJMsa0810119</w:t>
        </w:r>
      </w:hyperlink>
      <w:r>
        <w:rPr/>
        <w:t xml:space="preserve">Haynes, A. B., et al. (2009). A surgical safety checklist to reduce morbidity and mortality in a global population. New England Journal of Medicine, 360(5), 491-499. </w:t>
      </w:r>
      <w:hyperlink r:id="rId9">
        <w:r>
          <w:rPr>
            <w:color w:val="0563C1"/>
            <w:u w:val="single"/>
          </w:rPr>
          <w:t>https://doi.org/10.1056/NEJMsa0810119</w:t>
        </w:r>
      </w:hyperlink>
      <w:r>
        <w:rPr/>
        <w:t xml:space="preserve"> — the original validation study showing reduced mortality and complications with checklist use.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yperlink" Target="https://iris.who.int/items/08d5cc88-060c-4f03-8a94-330c095d49bc" TargetMode="External"/><Relationship Id="rId9" Type="http://schemas.openxmlformats.org/officeDocument/2006/relationships/hyperlink" Target="https://doi.org/10.1056/NEJMsa0810119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2026-09-18T09:27:22.826Z</dcterms:created>
  <dcterms:modified xsi:type="dcterms:W3CDTF">2026-09-18T09:27:22.835Z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