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Organ Transplant Regulatory Compliance and Counselling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COP.15.a, COP.15.c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keeps its transplant programme compliant with the Transplantation of Human Organs Act, and ensures every donor/recipient is properly counselled before proceeding.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organ transplant case managed at the hospital.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Transplant Coordinator: </w:t>
      </w:r>
      <w:r>
        <w:t xml:space="preserve">verifies regulatory compliance for every case and conducts or arranges counselling.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Confirm the hospital's transplant licence for the relevant organ is current before proceeding with any case.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Confirm every participating medical professional holds the authority required under the Transplantation of Human Organs Act for their role in the case.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Counsel the donor and/or recipient in the statutory format, before transplantation — never after.</w:t>
      </w:r>
    </w:p>
    <w:p>
      <w:pPr>
        <w:spacing w:after="120"/>
      </w:pPr>
      <w:r>
        <w:t>Counselling covers, at minimum: the medical and surgical risks, the right to decline without any effect on future care, the voluntary and non-commercial nature of donation, and alternatives to transplantation. [Hospital to define: confirm this against the current Transplantation of Human Organs Act and Rules, and use the prescribed consent form.]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Where the donor is declared brain-dead, counsel the family per the hospital's process, and document it separately from routine pre-transplant counselling.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Submit programme reports to the appropriate authorities within the timeframe the Act requires.</w:t>
      </w:r>
    </w:p>
    <w:p>
      <w:pPr>
        <w:spacing w:after="120"/>
      </w:pPr>
      <w:r>
        <w:rPr>
          <w:b/>
        </w:rPr>
        <w:t>5. Stop-Work Authority</w:t>
      </w:r>
    </w:p>
    <w:p>
      <w:pPr>
        <w:spacing w:after="120"/>
      </w:pPr>
      <w:r>
        <w:rPr>
          <w:b w:val="0"/>
        </w:rPr>
        <w:t>Do not proceed with any donor or recipient step — evaluation, counselling, or the procedure itself — if the hospital's transplant licence for that organ is not current, or if any participating professional's statutory authorisation under the Act is not current.</w:t>
      </w:r>
    </w:p>
    <w:p>
      <w:pPr>
        <w:spacing w:after="120"/>
      </w:pPr>
      <w:r>
        <w:rPr>
          <w:b w:val="0"/>
        </w:rPr>
        <w:t>The Transplant Coordinator tells the Medical Superintendent immediately if a licence or authorisation gap is found. Raising a compliance gap before proceeding is never a disciplinary matter.</w:t>
      </w:r>
    </w:p>
    <w:p>
      <w:pPr>
        <w:pStyle w:val="Heading1"/>
        <w:spacing w:after="150" w:before="300"/>
      </w:pPr>
      <w:r>
        <w:t>6. Records</w:t>
      </w:r>
    </w:p>
    <w:p>
      <w:pPr>
        <w:spacing w:after="150"/>
      </w:pPr>
      <w:r>
        <w:t xml:space="preserve">Supported by all 7 records in the COP.15 Required Records pack.</w:t>
      </w:r>
    </w:p>
    <w:p>
      <w:pPr>
        <w:pStyle w:val="Heading1"/>
        <w:spacing w:after="150" w:before="300"/>
      </w:pPr>
      <w:r>
        <w:t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Organ Transplant Programme (HCO/COP/POL/15) — COP.15 policy</w:t>
      </w:r>
    </w:p>
    <w:p>
      <w:pPr>
        <w:pStyle w:val="Heading1"/>
        <w:spacing w:after="150" w:before="300"/>
      </w:pPr>
      <w:r>
        <w:t>8. Review</w:t>
      </w:r>
    </w:p>
    <w:p>
      <w:pPr>
        <w:spacing w:after="150"/>
      </w:pPr>
      <w:r>
        <w:t xml:space="preserve">Reviewed annually, and immediately after any regulatory finding or licence renewal.</w:t>
      </w:r>
    </w:p>
    <w:p>
      <w:pPr>
        <w:pStyle w:val="Heading1"/>
        <w:spacing w:after="150" w:before="300"/>
      </w:pPr>
      <w:r>
        <w:t>9. 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/>
        <w:t xml:space="preserve">World Health Organization. (2010). WHO Guiding Principles on Human Cell, Tissue and Organ Transplantation. Transplantation, 90(3), 229-233. </w:t>
      </w:r>
      <w:hyperlink r:id="rId8">
        <w:r>
          <w:rPr>
            <w:color w:val="0563C1"/>
            <w:u w:val="single"/>
          </w:rPr>
          <w:t>https://pubmed.ncbi.nlm.nih.gov/21235034/</w:t>
        </w:r>
      </w:hyperlink>
      <w:r>
        <w:rPr/>
        <w:t xml:space="preserve"> — endorsed by the Sixty-third World Health Assembly, providing the ethical framework underlying India's Transplantation of Human Organs Act.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pubmed.ncbi.nlm.nih.gov/21235034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2026-09-18T18:09:14.920Z</dcterms:created>
  <dcterms:modified xsi:type="dcterms:W3CDTF">2026-09-18T18:09:14.920Z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