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Pressure-Ulcer Risk Assessment and Prevention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COP.16.c (Stop-Work)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identifies patients at risk of developing a new pressure ulcer, or of an existing one worsening, and manages both scenarios.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in-patient at admission and on any significant change in condition or mobility.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Admitting/Ward Nurse: </w:t>
      </w:r>
      <w:r>
        <w:t xml:space="preserve">completes the pressure-ulcer risk assessment and implements the resulting management plan.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Assess every patient using the hospital's adopted validated tool (e.g. Braden Scale) at admission.</w:t>
      </w:r>
    </w:p>
    <w:p>
      <w:pPr>
        <w:spacing w:after="120"/>
      </w:pPr>
      <w:r>
        <w:t>Commonly used Braden Scale bands: 15-18 — mild risk; 13-14 — moderate risk; 10-12 — high risk; 9 or below — severe risk. [Hospital to define: confirm the exact score bands this hospital has adopted.]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The assessment covers both risk scenarios separately: risk of developing a new pressure ulcer, and risk of an existing pressure ulcer worsening. Address both, not just one.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For patients found at risk, implement management per written guidance (e.g. repositioning schedule, pressure-relieving mattress, skin inspection frequency).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Reassess on any significant change in mobility, nutrition, or overall condition.</w:t>
      </w:r>
    </w:p>
    <w:p>
      <w:pPr>
        <w:pStyle w:val="Heading1"/>
        <w:spacing w:after="150" w:before="300"/>
      </w:pPr>
      <w:r>
        <w:t xml:space="preserve">5. Stop-Work Authority</w:t>
      </w:r>
    </w:p>
    <w:p>
      <w:pPr>
        <w:spacing w:after="150"/>
      </w:pPr>
      <w:r>
        <w:t xml:space="preserve">Do not use a non-validated or informal method as a substitute for the adopted pressure-ulcer risk tool.</w:t>
      </w:r>
    </w:p>
    <w:p>
      <w:pPr>
        <w:spacing w:after="150"/>
      </w:pPr>
      <w:r>
        <w:t xml:space="preserve">Do not assess only for new-ulcer risk while ignoring worsening risk for a patient who already has one — both must be addressed.</w:t>
      </w:r>
    </w:p>
    <w:p>
      <w:pPr>
        <w:spacing w:after="150"/>
      </w:pPr>
      <w:r>
        <w:t xml:space="preserve">Raising a missed or overdue assessment is not a disciplinary matter.</w:t>
      </w:r>
    </w:p>
    <w:p>
      <w:pPr>
        <w:pStyle w:val="Heading1"/>
        <w:spacing w:after="150" w:before="300"/>
      </w:pPr>
      <w:r>
        <w:t xml:space="preserve">6. Records</w:t>
      </w:r>
    </w:p>
    <w:p>
      <w:pPr>
        <w:spacing w:after="150"/>
      </w:pPr>
      <w:r>
        <w:t xml:space="preserve">Supported by Record 4 of the COP.16 Required Records pack: Pressure-Ulcer Risk Assessment Record.</w:t>
      </w:r>
    </w:p>
    <w:p>
      <w:pPr>
        <w:pStyle w:val="Heading1"/>
        <w:spacing w:after="150" w:before="300"/>
      </w:pPr>
      <w:r>
        <w:t xml:space="preserve">7.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High-Risk Patients — Identification and Management (HCO/COP/POL/16) — COP.16 policy</w:t>
      </w:r>
    </w:p>
    <w:p>
      <w:pPr>
        <w:pStyle w:val="Heading1"/>
        <w:spacing w:after="150" w:before="300"/>
      </w:pPr>
      <w:r>
        <w:t xml:space="preserve">8. Review</w:t>
      </w:r>
    </w:p>
    <w:p>
      <w:pPr>
        <w:spacing w:after="150"/>
      </w:pPr>
      <w:r>
        <w:t xml:space="preserve">Reviewed annually, and immediately after any hospital-acquired pressure ulcer of Stage 2 or higher.</w:t>
      </w:r>
    </w:p>
    <w:p>
      <w:pPr>
        <w:pStyle w:val="Heading1"/>
        <w:spacing w:after="150" w:before="300"/>
      </w:pPr>
      <w:r>
        <w:t xml:space="preserve">9. References</w:t>
      </w:r>
    </w:p>
    <w:p>
      <w:pPr>
        <w:pStyle w:val="ListParagraph"/>
        <w:numPr>
          <w:ilvl w:val="0"/>
          <w:numId w:val="1"/>
        </w:numPr>
        <w:spacing w:after="80"/>
      </w:pPr>
      <w:hyperlink r:id="rId8">
        <w:r>
          <w:rPr>
            <w:color w:val="0563C1"/>
            <w:u w:val="single"/>
          </w:rPr>
          <w:t>https://pubmed.ncbi.nlm.nih.gov/3299278/</w:t>
        </w:r>
      </w:hyperlink>
      <w:r>
        <w:rPr/>
        <w:t xml:space="preserve">Bergstrom, N., Braden, B. J., Laguzza, A., &amp; Holman, V. (1987). The Braden Scale for predicting pressure sore risk. Nursing Research, 36(4), 205-210. </w:t>
      </w:r>
      <w:hyperlink r:id="rId8">
        <w:r>
          <w:rPr>
            <w:color w:val="0563C1"/>
            <w:u w:val="single"/>
          </w:rPr>
          <w:t>https://pubmed.ncbi.nlm.nih.gov/3299278/</w:t>
        </w:r>
      </w:hyperlink>
      <w:r>
        <w:rPr/>
        <w:t xml:space="preserve"> — the original validation of the Braden Scale, the hospital's adopted example tool.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pubmed.ncbi.nlm.nih.gov/3299278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2026-09-18T13:04:38.689Z</dcterms:created>
  <dcterms:modified xsi:type="dcterms:W3CDTF">2026-09-18T13:04:38.689Z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