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Ambulance Dispatch, Checks and In-Transit Care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COP.3.e through COP.3.g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dispatches an ambulance, keeps it ready through daily checks, and delivers safe in-transit care with continuous communication.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ambulance run by «Hospital Name», for emergency, inter-facility, and scheduled transport.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Ambulance Driver: </w:t>
      </w:r>
      <w:r>
        <w:t xml:space="preserve">completes daily vehicle-system checks and drives per the defined departure timeframe.</w:t>
      </w:r>
    </w:p>
    <w:p>
      <w:pPr>
        <w:spacing w:after="100"/>
      </w:pPr>
      <w:r>
        <w:rPr>
          <w:b/>
          <w:bCs/>
        </w:rPr>
        <w:t xml:space="preserve">Ambulance Nurse/Paramedic: </w:t>
      </w:r>
      <w:r>
        <w:t xml:space="preserve">checks medical equipment and medication, and delivers in-transit care.</w:t>
      </w:r>
    </w:p>
    <w:p>
      <w:pPr>
        <w:spacing w:after="100"/>
      </w:pPr>
      <w:r>
        <w:rPr>
          <w:b/>
          <w:bCs/>
        </w:rPr>
        <w:t xml:space="preserve">Control Room Staff: </w:t>
      </w:r>
      <w:r>
        <w:t xml:space="preserve">maintains continuous communication throughout the trip.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Daily and post-trip checks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Complete daily checks of lights, siren, beacon, fuel, and tyres before the ambulance goes into service.</w:t>
      </w:r>
    </w:p>
    <w:p>
      <w:pPr>
        <w:spacing w:after="120"/>
      </w:pPr>
      <w:r>
        <w:rPr>
          <w:b w:val="0"/>
        </w:rPr>
        <w:t>3. If any daily check fails, the ambulance does not go into service — ground it, tag it as out of service, and inform the Ambulance In-Charge immediately for repair or replacement before any dispatch.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Check medical equipment and medication expiry daily, and top up consumables after every trip.</w:t>
      </w:r>
    </w:p>
    <w:p>
      <w:pPr>
        <w:pStyle w:val="Heading2"/>
        <w:spacing w:after="100" w:before="250"/>
      </w:pPr>
      <w:r>
        <w:t xml:space="preserve">4.2 Dispatch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Log the call receipt time, and depart within the hospital's defined timeframe.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Maintain continuous wireless/mobile communication with the control room throughout the trip.</w:t>
      </w:r>
    </w:p>
    <w:p>
      <w:pPr>
        <w:pStyle w:val="Heading2"/>
        <w:spacing w:after="100" w:before="250"/>
      </w:pPr>
      <w:r>
        <w:t xml:space="preserve">4.3 In-transit care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Open a patient file from the first communication with the referring point, capturing age, weight, provisional diagnosis, and ongoing treatment.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Name one person as responsible for in-transit clinical decisions for each trip.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Hand over to the receiving medical professional directly, with a complete verbal and written summary.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6, 7, 8, 9, 10, and 11 of the COP.3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Ambulance Services (HCO/COP/POL/03) — COP.3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and immediately after any ambulance-related adverse event.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/>
        <w:t xml:space="preserve">Automotive Research Association of India / Ministry of Road Transport and Highways, Government of India. (2014). AIS-125 (Part 1): Requirements for Ambulances Used for Transportation of Patients. </w:t>
      </w:r>
      <w:hyperlink r:id="rId8">
        <w:r>
          <w:rPr>
            <w:color w:val="0563C1"/>
            <w:u w:val="single"/>
          </w:rPr>
          <w:t>https://law.resource.org/pub/in/bis/ais/arai.in.ais.125-1.2014.pdf</w:t>
        </w:r>
      </w:hyperlink>
      <w:r>
        <w:rPr/>
        <w:t xml:space="preserve"> — the National Ambulance Code referenced in the hospital's own ambulance classification records.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law.resource.org/pub/in/bis/ais/arai.in.ais.125-1.2014.pdf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2026-09-18T18:07:30.653Z</dcterms:created>
  <dcterms:modified xsi:type="dcterms:W3CDTF">2026-09-18T18:07:30.662Z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