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Blood and Blood Component Transfusion Administration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COP.8.d, COP.8.e, COP.8.f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administers blood and blood components safely — correct testing, correct identification, correct monitoring, and a fast, correct response to any adverse reaction.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transfusion of whole blood or blood components, in every clinical area.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Treating Doctor: </w:t>
      </w:r>
      <w:r>
        <w:t xml:space="preserve">orders the transfusion with a clear, evidence-based indication.</w:t>
      </w:r>
    </w:p>
    <w:p>
      <w:pPr>
        <w:spacing w:after="100"/>
      </w:pPr>
      <w:r>
        <w:rPr>
          <w:b/>
          <w:bCs/>
        </w:rPr>
        <w:t xml:space="preserve">Nursing Staff: </w:t>
      </w:r>
      <w:r>
        <w:t xml:space="preserve">performs identity verification, administers, and monitors the transfusion.</w:t>
      </w:r>
    </w:p>
    <w:p>
      <w:pPr>
        <w:spacing w:after="100"/>
      </w:pPr>
      <w:r>
        <w:rPr>
          <w:b/>
          <w:bCs/>
        </w:rPr>
        <w:t xml:space="preserve">Blood Bank Staff: </w:t>
      </w:r>
      <w:r>
        <w:t xml:space="preserve">completes pre-transfusion testing and releases only cleared units.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Before the transfusion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indication for transfusion against the hospital's evidence-based criteria before ordering.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Obtain informed consent from the patient or attendant.</w:t>
      </w:r>
    </w:p>
    <w:p>
      <w:pPr>
        <w:spacing w:after="120"/>
      </w:pPr>
      <w:r>
        <w:rPr>
          <w:b/>
          <w:bCs/>
        </w:rPr>
        <w:t xml:space="preserve">3. </w:t>
      </w:r>
      <w:r>
        <w:t>Confirm the unit has cleared TTI testing (Transfusion-Transmissible Infection screening — HIV, Hepatitis B, Hepatitis C, syphilis, and malaria) and Red Cell Serology, and is correctly labelled — never issue or accept an unlabelled or untested unit.</w:t>
      </w:r>
    </w:p>
    <w:p>
      <w:pPr>
        <w:pStyle w:val="Heading2"/>
        <w:spacing w:after="100" w:before="250"/>
      </w:pPr>
      <w:r>
        <w:t xml:space="preserve">4.2 Identity and order verification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Verify the patient's identity using two identifiers, cross-checked against the unit label, by two staff members independently — this double-check is mandatory, every time.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Cross-check the patient's blood group against the unit twice before starting the transfusion.</w:t>
      </w:r>
    </w:p>
    <w:p>
      <w:pPr>
        <w:pStyle w:val="Heading2"/>
        <w:spacing w:after="100" w:before="250"/>
      </w:pPr>
      <w:r>
        <w:t xml:space="preserve">4.3 During the transfusion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Maintain the cold chain until the moment the unit is started.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Monitor the patient closely, especially in the first 15 minutes, when most acute reactions present.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If any adverse reaction is suspected — fever, chills, rash, breathlessness, back pain — stop the transfusion immediately, keep the line open with normal saline, and call the treating doctor.</w:t>
      </w:r>
    </w:p>
    <w:p>
      <w:pPr>
        <w:pStyle w:val="Heading2"/>
        <w:spacing w:after="100" w:before="250"/>
      </w:pPr>
      <w:r>
        <w:t xml:space="preserve">4.4 After a suspected reaction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Report every suspected adverse reaction, evaluate it, and document the evaluation.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Apply CAPA for the reaction, and report to the Haemovigilance Programme of India.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transfuse a unit without completed pre-transfusion testing, or without two-identifier verification cross-checked against the unit.</w:t>
      </w:r>
    </w:p>
    <w:p>
      <w:pPr>
        <w:spacing w:after="150"/>
      </w:pPr>
      <w:r>
        <w:t xml:space="preserve">Do not continue a transfusion once an adverse reaction is suspected — stop immediately.</w:t>
      </w:r>
    </w:p>
    <w:p>
      <w:pPr>
        <w:spacing w:after="150"/>
      </w:pPr>
      <w:r>
        <w:t xml:space="preserve">Raising an identity mismatch or a testing gap before transfusion begins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5, 8, 9, 15, and 16 of the COP.8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Transfusion Services (HCO/COP/POL/08) — COP.8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Blood Donor Selection and Collection (companion SOP for blood bank operations)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serious transfusion reaction or mismatch near-miss.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https://www.aabb.org/standards-accreditation/standards/fundamental-standards-for-blood-collection-and-transfusion</w:t>
        </w:r>
      </w:hyperlink>
      <w:r>
        <w:rPr/>
        <w:t xml:space="preserve">Association for the Advancement of Blood &amp; Biotherapies (AABB). Fundamental Standards for Blood Collection and Transfusion (2nd edition). </w:t>
      </w:r>
      <w:hyperlink r:id="rId8">
        <w:r>
          <w:rPr>
            <w:color w:val="0563C1"/>
            <w:u w:val="single"/>
          </w:rPr>
          <w:t>https://www.aabb.org/standards-accreditation/standards/fundamental-standards-for-blood-collection-and-transfusion</w:t>
        </w:r>
      </w:hyperlink>
      <w:r>
        <w:rPr/>
        <w:t xml:space="preserve"> — a free standards document designed for lower- and middle-income country settings, covering donor qualification, collection, processing, storage, and pre-transfusion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abb.org/standards-accreditation/standards/fundamental-standards-for-blood-collection-and-transfusio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2026-09-18T13:05:41.245Z</dcterms:created>
  <dcterms:modified xsi:type="dcterms:W3CDTF">2026-09-18T13:05:41.245Z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