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ICU/HDU Admission, Discharge and Bed-Shortage Management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COP.9.b, COP.9.d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applies defined criteria to admit, transfer, and discharge ICU/HDU patients, and manages the process safely when no bed is available.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ICU and HDU admission, transfer, and discharge decision.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ICU/HDU In-Charge Doctor: </w:t>
      </w:r>
      <w:r>
        <w:t xml:space="preserve">applies the admission/discharge criteria and makes the bed-shortage decision.</w:t>
      </w:r>
    </w:p>
    <w:p>
      <w:pPr>
        <w:spacing w:after="100"/>
      </w:pPr>
      <w:r>
        <w:rPr>
          <w:b/>
          <w:bCs/>
        </w:rPr>
        <w:t xml:space="preserve">Bed Management / Nursing Administration: </w:t>
      </w:r>
      <w:r>
        <w:t xml:space="preserve">tracks bed availability and coordinates the bed-shortage procedure.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Admission, transfer, and discharge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Apply the hospital's defined physiologic and/or diagnostic criteria before admitting a patient to ICU/HDU.</w:t>
      </w:r>
    </w:p>
    <w:p>
      <w:pPr>
        <w:spacing w:after="120"/>
      </w:pPr>
      <w:r>
        <w:t>[Hospital to define: state the actual admission criteria here — a working starting point is hemodynamic instability needing vasopressor support, respiratory failure needing invasive or non-invasive ventilation, or a monitoring/nursing need beyond ward capability (e.g. immediate post-major-surgery recovery), and/or a validated severity score such as SOFA or APACHE II where the hospital has adopted one.]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Apply the same discipline to transfer-in and discharge/transfer-out decisions — these are not informal judgement calls.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Where a patient or family requests discharge against medical advice, follow the hospital's defined DAMA mechanism.</w:t>
      </w:r>
    </w:p>
    <w:p>
      <w:pPr>
        <w:pStyle w:val="Heading2"/>
        <w:spacing w:after="100" w:before="250"/>
      </w:pPr>
      <w:r>
        <w:t xml:space="preserve">4.2 Bed-shortage management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When no ICU/HDU bed is available, follow the hospital's written bed-shortage procedure immediately — do not delay while searching informally.</w:t>
      </w:r>
    </w:p>
    <w:p>
      <w:pPr>
        <w:spacing w:after="120"/>
      </w:pPr>
      <w:r>
        <w:rPr>
          <w:b w:val="0"/>
        </w:rPr>
        <w:t>If the situation is not resolved promptly, escalate in order: ICU/HDU In-Charge Doctor, then the Medical Superintendent, then the CEO's office. [Hospital to define: enter the actual duty phone numbers for each, so staff are not searching for a number during an active bed-shortage escalation.]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Maintain ICU-level monitoring for the patient wherever they are held, until a bed becomes available.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Document the bed-shortage situation, the action taken, and the outcome.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2, 3, and 6 of the COP.9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Intensive Care and High Dependency Units (HCO/COP/POL/09) — COP.9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adverse event linked to delayed ICU admission.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/>
        <w:t xml:space="preserve">Society of Critical Care Medicine. ICU Admission, Discharge, and Triage Guidelines: A Framework to Enhance Clinical Operations, Development of Institutional Policies, and Further Research. Critical Care Medicine, 2016;44(8):1553-1602. </w:t>
      </w:r>
      <w:hyperlink r:id="rId8">
        <w:r>
          <w:rPr>
            <w:color w:val="0563C1"/>
            <w:u w:val="single"/>
          </w:rPr>
          <w:t>https://www.sccm.org/clinical-resources/guidelines/guidelines/icu-admission,-discharge,-and-triage-guidelines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sccm.org/clinical-resources/guidelines/guidelines/icu-admission,-discharge,-and-triage-guideline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2026-09-18T18:07:46.907Z</dcterms:created>
  <dcterms:modified xsi:type="dcterms:W3CDTF">2026-09-18T18:07:46.907Z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