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and Secure Environment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system in place to provide a safe and secure environment.</w:t>
      </w:r>
    </w:p>
    <w:p>
      <w:pPr>
        <w:pStyle w:val="Heading1"/>
      </w:pPr>
      <w:r>
        <w:t>1. Purpose</w:t>
      </w:r>
    </w:p>
    <w:p>
      <w:pPr/>
      <w:r>
        <w:t>This policy sets out how «Hospital Name» keeps the facility safe and secure. It covers:</w:t>
      </w:r>
    </w:p>
    <w:p>
      <w:pPr>
        <w:pStyle w:val="ListBullet"/>
      </w:pPr>
      <w:r>
        <w:t>Installing and inspecting patient-safety devices and infrastructure</w:t>
      </w:r>
    </w:p>
    <w:p>
      <w:pPr>
        <w:pStyle w:val="ListBullet"/>
      </w:pPr>
      <w:r>
        <w:t>Providing accessible facilities for differently-abled persons</w:t>
      </w:r>
    </w:p>
    <w:p>
      <w:pPr>
        <w:pStyle w:val="ListBullet"/>
      </w:pPr>
      <w:r>
        <w:t>Conducting monthly safety-inspection rounds</w:t>
      </w:r>
    </w:p>
    <w:p>
      <w:pPr>
        <w:pStyle w:val="ListBullet"/>
      </w:pPr>
      <w:r>
        <w:t>Documenting inspection findings and acting on them</w:t>
      </w:r>
    </w:p>
    <w:p>
      <w:pPr>
        <w:pStyle w:val="ListBullet"/>
      </w:pPr>
      <w:r>
        <w:t>Carrying out risk assessments before any construction, renovation or expansion of the facility</w:t>
      </w:r>
    </w:p>
    <w:p>
      <w:pPr/>
      <w:r>
        <w:t>This policy covers safe and secure environment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safe and secure environment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Patient-safety devices and infrastructure are installed and periodically inspected across «Hospital Name». Accessibility facilities meet regulatory minimums for differently-abled persons. Monthly facility-inspection rounds identify and monitor safety, security-risk and restricted areas. Every finding is documented, acted on and reviewed by the safety committee. No construction, renovation or expansion begins without a completed risk assessment covering noise, vibration and infection prevention and control.</w:t>
      </w:r>
    </w:p>
    <w:p>
      <w:pPr/>
      <w:r>
        <w:t>Staff follow written guidance and keep the records listed in the traceability table.</w:t>
      </w:r>
    </w:p>
    <w:p>
      <w:pPr>
        <w:pStyle w:val="Heading1"/>
      </w:pPr>
      <w:r>
        <w:t>4. Non-negotiable rules</w:t>
      </w:r>
    </w:p>
    <w:p>
      <w:pPr>
        <w:pStyle w:val="ListNumber"/>
      </w:pPr>
      <w:r>
        <w:t>Do not run a patient-care area that lacks required patient-safety devices (grab bars, bed rails, call bells, alarms, warning signs and fire-safety devices as applicable to that area) or for which no periodic inspection record exists.</w:t>
      </w:r>
    </w:p>
    <w:p>
      <w:pPr>
        <w:pStyle w:val="ListNumber"/>
      </w:pPr>
      <w:r>
        <w:t>Do not operate without providing at minimum the accessibility facilities for differently-abled persons that applicable regulatory requirements mandate — a wheelchair-accessible entrance and an adapted toilet at minimum.</w:t>
      </w:r>
    </w:p>
    <w:p>
      <w:pPr>
        <w:pStyle w:val="ListNumber"/>
      </w:pPr>
      <w:r>
        <w:t>Do not let a calendar month pass without a completed, checklist-based facility-inspection round; a round without a completed checklist is not a round for this purpose.</w:t>
      </w:r>
    </w:p>
    <w:p>
      <w:pPr>
        <w:pStyle w:val="ListNumber"/>
      </w:pPr>
      <w:r>
        <w:t>Do not leave a finding from a facility inspection round without a documented corrective and preventive action and a safety-committee review within the same calendar month.</w:t>
      </w:r>
    </w:p>
    <w:p>
      <w:pPr>
        <w:pStyle w:val="ListNumber"/>
      </w:pPr>
      <w:r>
        <w:t>Do not start construction, renovation or expansion of the existing hospital without a completed risk assessment covering noise, vibration and infection prevention and control in place before work begins.</w:t>
      </w:r>
    </w:p>
    <w:p>
      <w:pPr>
        <w:pStyle w:val="ListNumber"/>
      </w:pPr>
      <w:r>
        <w:t>Staff who see a FMS.1 rule broken report it the same shift to the Engineering In-Charge or the Medical Superintendent.</w:t>
      </w:r>
    </w:p>
    <w:p>
      <w:pPr>
        <w:pStyle w:val="Heading1"/>
      </w:pPr>
      <w:r>
        <w:t>5. What we do</w:t>
      </w:r>
    </w:p>
    <w:p>
      <w:pPr>
        <w:pStyle w:val="Heading2"/>
      </w:pPr>
      <w:r>
        <w:t>5.1 Patient safety devices and infrastructure are installed across the organisation and inspected periodically.</w:t>
      </w:r>
    </w:p>
    <w:p>
      <w:pPr/>
      <w:r>
        <w:t>Patient-safety devices and infrastructure (grab bars, bed rails, stretcher and wheelchair belts, call bells, alarms, radiation or biohazard warning signs, fire-safety devices as listed for each area) are installed across «Hospital Name» and inspected at a defined interval (default monthly).</w:t>
      </w:r>
    </w:p>
    <w:p>
      <w:pPr/>
      <w:r>
        <w:t>The Engineering In-Charge holds the current list and last inspection. A missing device in a care area that is in use is escalated the same shift.</w:t>
      </w:r>
    </w:p>
    <w:p>
      <w:pPr>
        <w:pStyle w:val="Heading2"/>
      </w:pPr>
      <w:r>
        <w:t>5.2 The organisation has facilities for the differently-abled</w:t>
      </w:r>
    </w:p>
    <w:p>
      <w:pPr/>
      <w:r>
        <w:t>«Hospital Name» has facilities for the differently-abled (at a minimum a wheelchair-accessible entrance and an adapted toilet, as regulatory requirement and this hospital's building allow).</w:t>
      </w:r>
    </w:p>
    <w:p>
      <w:pPr/>
      <w:r>
        <w:t>The Engineering In-Charge keeps the current access list. A step-only entrance with no documented alternative does not satisfy this element.</w:t>
      </w:r>
    </w:p>
    <w:p>
      <w:pPr>
        <w:pStyle w:val="Heading2"/>
      </w:pPr>
      <w:r>
        <w:t>5.3 Facility inspection rounds to ensure safety are conducted at least once a month.</w:t>
      </w:r>
    </w:p>
    <w:p>
      <w:pPr/>
      <w:r>
        <w:t>Facility inspection rounds to ensure safety are conducted at least once a month using a checklist. Potential safety and security-risk / restricted areas are identified and monitored.</w:t>
      </w:r>
    </w:p>
    <w:p>
      <w:pPr/>
      <w:r>
        <w:t>The Engineering In-Charge owns the round calendar. A month without a completed round is a gap.</w:t>
      </w:r>
    </w:p>
    <w:p>
      <w:pPr>
        <w:pStyle w:val="Heading2"/>
      </w:pPr>
      <w:r>
        <w:t>5.4 Inspection reports of facility rounds are documented and corrective and preventive measures are undertaken.</w:t>
      </w:r>
    </w:p>
    <w:p>
      <w:pPr/>
      <w:r>
        <w:t>Inspection reports of facility rounds are documented. Corrective and preventive measures are undertaken. The safety committee reviews the reports monthly. Pre- and post-correction evidence is kept for at least one accreditation cycle.</w:t>
      </w:r>
    </w:p>
    <w:p>
      <w:pPr/>
      <w:r>
        <w:t>The Quality Coordinator files the reviewed reports with the Engineering In-Charge.</w:t>
      </w:r>
    </w:p>
    <w:p>
      <w:pPr>
        <w:pStyle w:val="Heading2"/>
      </w:pPr>
      <w:r>
        <w:t>5.5 Before construction, renovation and expansion of the existing hospital, risk-assessment is carried out.</w:t>
      </w:r>
    </w:p>
    <w:p>
      <w:pPr/>
      <w:r>
        <w:t>Before construction, renovation or expansion of the existing hospital, a risk-assessment is carried out covering noise, vibration and infection prevention and control. Construction-infection controls are covered in other hospital policies; this element is that the assessment happens before work starts.</w:t>
      </w:r>
    </w:p>
    <w:p>
      <w:pPr/>
      <w:r>
        <w:t>The Engineering In-Charge holds the dated assessment. Work started with no assessment does not satisfy this element.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FMS.1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7.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8.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Safe and Secure Environment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FMS.1</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FMS.1</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FMS.1.a</w:t>
            </w:r>
          </w:p>
        </w:tc>
        <w:tc>
          <w:tcPr>
            <w:tcW w:type="dxa" w:w="1728"/>
          </w:tcPr>
          <w:p>
            <w:r>
              <w:t>CORE</w:t>
            </w:r>
          </w:p>
        </w:tc>
        <w:tc>
          <w:tcPr>
            <w:tcW w:type="dxa" w:w="1728"/>
          </w:tcPr>
          <w:p>
            <w:r>
              <w:t>Patient safety devices and infrastructure are installed across the organisation and inspected periodically.</w:t>
            </w:r>
          </w:p>
        </w:tc>
        <w:tc>
          <w:tcPr>
            <w:tcW w:type="dxa" w:w="1728"/>
          </w:tcPr>
          <w:p>
            <w:r>
              <w:t>Section 3; 5.1</w:t>
            </w:r>
          </w:p>
        </w:tc>
        <w:tc>
          <w:tcPr>
            <w:tcW w:type="dxa" w:w="1728"/>
          </w:tcPr>
          <w:p>
            <w:r>
              <w:t>Engineering In-Charge</w:t>
            </w:r>
          </w:p>
        </w:tc>
      </w:tr>
      <w:tr>
        <w:tc>
          <w:tcPr>
            <w:tcW w:type="dxa" w:w="1728"/>
          </w:tcPr>
          <w:p>
            <w:r>
              <w:t>FMS.1.b</w:t>
            </w:r>
          </w:p>
        </w:tc>
        <w:tc>
          <w:tcPr>
            <w:tcW w:type="dxa" w:w="1728"/>
          </w:tcPr>
          <w:p>
            <w:r>
              <w:t>Commitment</w:t>
            </w:r>
          </w:p>
        </w:tc>
        <w:tc>
          <w:tcPr>
            <w:tcW w:type="dxa" w:w="1728"/>
          </w:tcPr>
          <w:p>
            <w:r>
              <w:t>The organisation has facilities for the differently-abled.</w:t>
            </w:r>
          </w:p>
        </w:tc>
        <w:tc>
          <w:tcPr>
            <w:tcW w:type="dxa" w:w="1728"/>
          </w:tcPr>
          <w:p>
            <w:r>
              <w:t>Section 3; 5.2</w:t>
            </w:r>
          </w:p>
        </w:tc>
        <w:tc>
          <w:tcPr>
            <w:tcW w:type="dxa" w:w="1728"/>
          </w:tcPr>
          <w:p>
            <w:r>
              <w:t>Engineering In-Charge</w:t>
            </w:r>
          </w:p>
        </w:tc>
      </w:tr>
      <w:tr>
        <w:tc>
          <w:tcPr>
            <w:tcW w:type="dxa" w:w="1728"/>
          </w:tcPr>
          <w:p>
            <w:r>
              <w:t>FMS.1.c</w:t>
            </w:r>
          </w:p>
        </w:tc>
        <w:tc>
          <w:tcPr>
            <w:tcW w:type="dxa" w:w="1728"/>
          </w:tcPr>
          <w:p>
            <w:r>
              <w:t>CORE</w:t>
            </w:r>
          </w:p>
        </w:tc>
        <w:tc>
          <w:tcPr>
            <w:tcW w:type="dxa" w:w="1728"/>
          </w:tcPr>
          <w:p>
            <w:r>
              <w:t>Facility inspection rounds to ensure safety are conducted at least once a month.</w:t>
            </w:r>
          </w:p>
        </w:tc>
        <w:tc>
          <w:tcPr>
            <w:tcW w:type="dxa" w:w="1728"/>
          </w:tcPr>
          <w:p>
            <w:r>
              <w:t>Section 3; 5.3</w:t>
            </w:r>
          </w:p>
        </w:tc>
        <w:tc>
          <w:tcPr>
            <w:tcW w:type="dxa" w:w="1728"/>
          </w:tcPr>
          <w:p>
            <w:r>
              <w:t>Engineering In-Charge</w:t>
            </w:r>
          </w:p>
        </w:tc>
      </w:tr>
      <w:tr>
        <w:tc>
          <w:tcPr>
            <w:tcW w:type="dxa" w:w="1728"/>
          </w:tcPr>
          <w:p>
            <w:r>
              <w:t>FMS.1.d</w:t>
            </w:r>
          </w:p>
        </w:tc>
        <w:tc>
          <w:tcPr>
            <w:tcW w:type="dxa" w:w="1728"/>
          </w:tcPr>
          <w:p>
            <w:r>
              <w:t>Commitment</w:t>
            </w:r>
          </w:p>
        </w:tc>
        <w:tc>
          <w:tcPr>
            <w:tcW w:type="dxa" w:w="1728"/>
          </w:tcPr>
          <w:p>
            <w:r>
              <w:t>Inspection reports of facility rounds are documented and corrective and preventive measures are undertaken.</w:t>
            </w:r>
          </w:p>
        </w:tc>
        <w:tc>
          <w:tcPr>
            <w:tcW w:type="dxa" w:w="1728"/>
          </w:tcPr>
          <w:p>
            <w:r>
              <w:t>Section 3; 5.4</w:t>
            </w:r>
          </w:p>
        </w:tc>
        <w:tc>
          <w:tcPr>
            <w:tcW w:type="dxa" w:w="1728"/>
          </w:tcPr>
          <w:p>
            <w:r>
              <w:t>Engineering In-Charge</w:t>
            </w:r>
          </w:p>
        </w:tc>
      </w:tr>
      <w:tr>
        <w:tc>
          <w:tcPr>
            <w:tcW w:type="dxa" w:w="1728"/>
          </w:tcPr>
          <w:p>
            <w:r>
              <w:t>FMS.1.e</w:t>
            </w:r>
          </w:p>
        </w:tc>
        <w:tc>
          <w:tcPr>
            <w:tcW w:type="dxa" w:w="1728"/>
          </w:tcPr>
          <w:p>
            <w:r>
              <w:t>Commitment</w:t>
            </w:r>
          </w:p>
        </w:tc>
        <w:tc>
          <w:tcPr>
            <w:tcW w:type="dxa" w:w="1728"/>
          </w:tcPr>
          <w:p>
            <w:r>
              <w:t>Before construction, renovation and expansion of the existing hospital, risk-assessment is carried out.</w:t>
            </w:r>
          </w:p>
        </w:tc>
        <w:tc>
          <w:tcPr>
            <w:tcW w:type="dxa" w:w="1728"/>
          </w:tcPr>
          <w:p>
            <w:r>
              <w:t>Section 3; 5.5</w:t>
            </w:r>
          </w:p>
        </w:tc>
        <w:tc>
          <w:tcPr>
            <w:tcW w:type="dxa" w:w="1728"/>
          </w:tcPr>
          <w:p>
            <w:r>
              <w:t>Engineering In-Charge</w:t>
            </w:r>
          </w:p>
        </w:tc>
      </w:tr>
    </w:tbl>
    <w:p>
      <w:pPr>
        <w:pStyle w:val="Heading1"/>
      </w:pPr>
      <w:r>
        <w:t>12. Required Records / Evidence Checklist</w:t>
      </w:r>
    </w:p>
    <w:p>
      <w:pPr/>
      <w:r>
        <w:t>Records the hospital holds under this policy, listed by objective element.</w:t>
      </w:r>
    </w:p>
    <w:p>
      <w:pPr>
        <w:pStyle w:val="Heading2"/>
      </w:pPr>
      <w:r>
        <w:t>FMS.1.a — Patient safety devices and infrastructure are installed across the organisation and inspected periodically.</w:t>
      </w:r>
    </w:p>
    <w:p>
      <w:pPr>
        <w:pStyle w:val="ListBullet"/>
      </w:pPr>
      <w:r>
        <w:t>Current inventory of patient-safety devices and infrastructure (grab bars, bed rails, call bells, fire-safety devices) by area.</w:t>
      </w:r>
    </w:p>
    <w:p>
      <w:pPr>
        <w:pStyle w:val="ListBullet"/>
      </w:pPr>
      <w:r>
        <w:t>Inspection log showing the last-inspection date for each device or area.</w:t>
      </w:r>
    </w:p>
    <w:p>
      <w:pPr>
        <w:pStyle w:val="ListBullet"/>
      </w:pPr>
      <w:r>
        <w:t>Escalation record for any missing device found in an in-use care area.</w:t>
      </w:r>
    </w:p>
    <w:p>
      <w:pPr>
        <w:pStyle w:val="Heading2"/>
      </w:pPr>
      <w:r>
        <w:t>FMS.1.b — The organisation has facilities for the differently-abled.</w:t>
      </w:r>
    </w:p>
    <w:p>
      <w:pPr>
        <w:pStyle w:val="ListBullet"/>
      </w:pPr>
      <w:r>
        <w:t>Facility list showing the wheelchair-accessible entrance and toilet location(s).</w:t>
      </w:r>
    </w:p>
    <w:p>
      <w:pPr>
        <w:pStyle w:val="ListBullet"/>
      </w:pPr>
      <w:r>
        <w:t>Regulatory-requirement reference for the accessibility provision made.</w:t>
      </w:r>
    </w:p>
    <w:p>
      <w:pPr>
        <w:pStyle w:val="ListBullet"/>
      </w:pPr>
      <w:r>
        <w:t>Documented alternative arrangement for any area with step-only access.</w:t>
      </w:r>
    </w:p>
    <w:p>
      <w:pPr>
        <w:pStyle w:val="Heading2"/>
      </w:pPr>
      <w:r>
        <w:t>FMS.1.c — Facility inspection rounds to ensure safety are conducted at least once a month.</w:t>
      </w:r>
    </w:p>
    <w:p>
      <w:pPr>
        <w:pStyle w:val="ListBullet"/>
      </w:pPr>
      <w:r>
        <w:t>Monthly facility-inspection-round checklist, completed and dated.</w:t>
      </w:r>
    </w:p>
    <w:p>
      <w:pPr>
        <w:pStyle w:val="ListBullet"/>
      </w:pPr>
      <w:r>
        <w:t>Round calendar showing no missed month.</w:t>
      </w:r>
    </w:p>
    <w:p>
      <w:pPr>
        <w:pStyle w:val="ListBullet"/>
      </w:pPr>
      <w:r>
        <w:t>List of identified safety, security-risk or restricted areas being monitored.</w:t>
      </w:r>
    </w:p>
    <w:p>
      <w:pPr>
        <w:pStyle w:val="Heading2"/>
      </w:pPr>
      <w:r>
        <w:t>FMS.1.d — Inspection reports of facility rounds are documented and corrective and preventive measures are undertaken.</w:t>
      </w:r>
    </w:p>
    <w:p>
      <w:pPr>
        <w:pStyle w:val="ListBullet"/>
      </w:pPr>
      <w:r>
        <w:t>Documented inspection reports of facility rounds.</w:t>
      </w:r>
    </w:p>
    <w:p>
      <w:pPr>
        <w:pStyle w:val="ListBullet"/>
      </w:pPr>
      <w:r>
        <w:t>Corrective and preventive action record for each finding.</w:t>
      </w:r>
    </w:p>
    <w:p>
      <w:pPr>
        <w:pStyle w:val="ListBullet"/>
      </w:pPr>
      <w:r>
        <w:t>Safety-committee review record of the reports.</w:t>
      </w:r>
    </w:p>
    <w:p>
      <w:pPr>
        <w:pStyle w:val="Heading2"/>
      </w:pPr>
      <w:r>
        <w:t>FMS.1.e — Before construction, renovation and expansion of the existing hospital, risk-assessment is carried out.</w:t>
      </w:r>
    </w:p>
    <w:p>
      <w:pPr>
        <w:pStyle w:val="ListBullet"/>
      </w:pPr>
      <w:r>
        <w:t>Dated risk-assessment record covering noise, vibration and infection prevention, completed before work started.</w:t>
      </w:r>
    </w:p>
    <w:p>
      <w:pPr>
        <w:pStyle w:val="ListBullet"/>
      </w:pPr>
      <w:r>
        <w:t>Engineering In-Charge sign-off before construction, renovation or expansion began.</w:t>
      </w:r>
    </w:p>
    <w:p>
      <w:pPr>
        <w:pStyle w:val="ListBullet"/>
      </w:pPr>
      <w:r>
        <w:t>Cross-reference to the construction-infection-control measures applied alongside (covered in other hospital policies).</w:t>
      </w:r>
    </w:p>
    <w:p>
      <w:pPr>
        <w:pStyle w:val="Heading1"/>
      </w:pPr>
      <w:r>
        <w:t>13. References</w:t>
      </w:r>
    </w:p>
    <w:p>
      <w:pPr>
        <w:pStyle w:val="ListBullet"/>
      </w:pPr>
      <w:r>
        <w:t>National Accreditation Board for Hospitals and Healthcare Providers (NABH), Accreditation Standards for Hospitals, 6th Edition (January 2025) — Facility Management and Safety, standard FMS.1.</w:t>
      </w:r>
    </w:p>
    <w:p>
      <w:pPr>
        <w:pStyle w:val="ListBullet"/>
      </w:pPr>
      <w:r>
        <w:t>NABH Guidebook to Accreditation Standards for Hospitals, 6th Edition — FMS.1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