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Planned Facilities and Environment-Friendly Measures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HCO/FMS/POL/02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Engineering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organisation's environment and facilities operate in a planned manner and promotes environment-friendly measures.</w:t>
      </w:r>
    </w:p>
    <w:p>
      <w:pPr>
        <w:pStyle w:val="Heading1"/>
      </w:pPr>
      <w:r>
        <w:t>1. Purpose</w:t>
      </w:r>
    </w:p>
    <w:p>
      <w:pPr/>
      <w:r>
        <w:t>This policy sets out how «Hospital Name» keeps its environment and facilities operating in a planned, environment-friendly manner. It covers:</w:t>
      </w:r>
    </w:p>
    <w:p>
      <w:pPr>
        <w:pStyle w:val="ListBullet"/>
      </w:pPr>
      <w:r>
        <w:t>Ensuring facilities and space match the services provided</w:t>
      </w:r>
    </w:p>
    <w:p>
      <w:pPr>
        <w:pStyle w:val="ListBullet"/>
      </w:pPr>
      <w:r>
        <w:t>Keeping as-built drawings current</w:t>
      </w:r>
    </w:p>
    <w:p>
      <w:pPr>
        <w:pStyle w:val="ListBullet"/>
      </w:pPr>
      <w:r>
        <w:t>Maintaining comprehensible signage</w:t>
      </w:r>
    </w:p>
    <w:p>
      <w:pPr>
        <w:pStyle w:val="ListBullet"/>
      </w:pPr>
      <w:r>
        <w:t>Providing potable water and electricity around the clock</w:t>
      </w:r>
    </w:p>
    <w:p>
      <w:pPr>
        <w:pStyle w:val="ListBullet"/>
      </w:pPr>
      <w:r>
        <w:t>Providing and regularly testing backup sources for both</w:t>
      </w:r>
    </w:p>
    <w:p>
      <w:pPr/>
      <w:r>
        <w:t>This policy covers planned facilities and environment-friendly measures specifically. Related duties — like patient assessment, clinical care, medication management, patient rights, infection control, quality and safety monitoring, or hospital governance — are covered in the hospital's other policies, not repeated here.</w:t>
      </w:r>
    </w:p>
    <w:p>
      <w:pPr/>
      <w:r>
        <w:t>Words marked like this are defaults. A blank marked ________ must be filled before issue.</w:t>
      </w:r>
    </w:p>
    <w:p>
      <w:pPr>
        <w:pStyle w:val="Heading1"/>
      </w:pPr>
      <w:r>
        <w:t>2. Scope</w:t>
      </w:r>
    </w:p>
    <w:p>
      <w:pPr/>
      <w:r>
        <w:t>This policy applies to «Hospital Name» staff involved in facilities, utilities, medical gases, and fire or non-fire emergencies, including:</w:t>
      </w:r>
    </w:p>
    <w:p>
      <w:pPr>
        <w:pStyle w:val="ListBullet"/>
      </w:pPr>
      <w:r>
        <w:t>Engineering, biomedical, nursing and departmental leaders</w:t>
      </w:r>
    </w:p>
    <w:p>
      <w:pPr>
        <w:pStyle w:val="ListBullet"/>
      </w:pPr>
      <w:r>
        <w:t>The Engineering In-Charge</w:t>
      </w:r>
    </w:p>
    <w:p>
      <w:pPr>
        <w:pStyle w:val="ListBullet"/>
      </w:pPr>
      <w:r>
        <w:t>The Medical Superintendent</w:t>
      </w:r>
    </w:p>
    <w:p>
      <w:pPr>
        <w:pStyle w:val="ListBullet"/>
      </w:pPr>
      <w:r>
        <w:t>Departmental leaders</w:t>
      </w:r>
    </w:p>
    <w:p>
      <w:pPr>
        <w:pStyle w:val="ListBullet"/>
      </w:pPr>
      <w:r>
        <w:t>The Quality Coordinator</w:t>
      </w:r>
    </w:p>
    <w:p>
      <w:pPr/>
      <w:r>
        <w:t>This policy covers planned facilities and environment-friendly measures specifically. Related duties are covered in the hospital's other policies, not repeated here, including:</w:t>
      </w:r>
    </w:p>
    <w:p>
      <w:pPr>
        <w:pStyle w:val="ListBullet"/>
      </w:pPr>
      <w:r>
        <w:t>Patient assessment</w:t>
      </w:r>
    </w:p>
    <w:p>
      <w:pPr>
        <w:pStyle w:val="ListBullet"/>
      </w:pPr>
      <w:r>
        <w:t>Clinical care</w:t>
      </w:r>
    </w:p>
    <w:p>
      <w:pPr>
        <w:pStyle w:val="ListBullet"/>
      </w:pPr>
      <w:r>
        <w:t>Medication management</w:t>
      </w:r>
    </w:p>
    <w:p>
      <w:pPr>
        <w:pStyle w:val="ListBullet"/>
      </w:pPr>
      <w:r>
        <w:t>Patient rights</w:t>
      </w:r>
    </w:p>
    <w:p>
      <w:pPr>
        <w:pStyle w:val="ListBullet"/>
      </w:pPr>
      <w:r>
        <w:t>Infection control</w:t>
      </w:r>
    </w:p>
    <w:p>
      <w:pPr>
        <w:pStyle w:val="ListBullet"/>
      </w:pPr>
      <w:r>
        <w:t>Quality and safety monitoring</w:t>
      </w:r>
    </w:p>
    <w:p>
      <w:pPr>
        <w:pStyle w:val="ListBullet"/>
      </w:pPr>
      <w:r>
        <w:t>Hospital governance</w:t>
      </w:r>
    </w:p>
    <w:p>
      <w:pPr>
        <w:pStyle w:val="Heading1"/>
      </w:pPr>
      <w:r>
        <w:t>3. Policy standards</w:t>
      </w:r>
    </w:p>
    <w:p>
      <w:pPr/>
      <w:r>
        <w:t>Facilities and space at «Hospital Name» match the services offered. As-built and updated drawings are maintained by a named custodian. Internal and external signage is in a form patients, families and the community can understand, and meets statutory posting requirements. Potable water and electricity are available round the clock with tested backup sources for any failure.</w:t>
      </w:r>
    </w:p>
    <w:p>
      <w:pPr/>
      <w:r>
        <w:t>Staff follow written guidance and keep the records listed in the traceability table.</w:t>
      </w:r>
    </w:p>
    <w:p>
      <w:pPr>
        <w:pStyle w:val="Heading1"/>
      </w:pPr>
      <w:r>
        <w:t>4. Non-negotiable rules</w:t>
      </w:r>
    </w:p>
    <w:p>
      <w:pPr>
        <w:pStyle w:val="ListNumber"/>
      </w:pPr>
      <w:r>
        <w:t>Do not operate a clinical service without matching facility space; any service without a corresponding documented space is not available from this hospital for accreditation purposes.</w:t>
      </w:r>
    </w:p>
    <w:p>
      <w:pPr>
        <w:pStyle w:val="ListNumber"/>
      </w:pPr>
      <w:r>
        <w:t>Do not let the as-built and updated drawing set become incomplete or without a named custodian; a drawing that does not reflect the current facility is not an as-built drawing.</w:t>
      </w:r>
    </w:p>
    <w:p>
      <w:pPr>
        <w:pStyle w:val="ListNumber"/>
      </w:pPr>
      <w:r>
        <w:t>Do not allow signage that cannot be understood by patients, families or the community, or that does not meet applicable statutory posting requirements.</w:t>
      </w:r>
    </w:p>
    <w:p>
      <w:pPr>
        <w:pStyle w:val="ListNumber"/>
      </w:pPr>
      <w:r>
        <w:t>Do not leave a care area without potable water or electricity; test potable-water quality biochemically at least once in three months and microbiologically at least once a month, collected at the tap.</w:t>
      </w:r>
    </w:p>
    <w:p>
      <w:pPr>
        <w:pStyle w:val="ListNumber"/>
      </w:pPr>
      <w:r>
        <w:t>Do not operate without identified backup electricity and water sources available for every critical area.</w:t>
      </w:r>
    </w:p>
    <w:p>
      <w:pPr>
        <w:pStyle w:val="ListNumber"/>
      </w:pPr>
      <w:r>
        <w:t>Do not count an alternate source as available if it has not been tested at the defined frequency with documented results.</w:t>
      </w:r>
    </w:p>
    <w:p>
      <w:pPr>
        <w:pStyle w:val="ListNumber"/>
      </w:pPr>
      <w:r>
        <w:t>Do not bypass the stop-work authority in section 6 when the trigger conditions are met.</w:t>
      </w:r>
    </w:p>
    <w:p>
      <w:pPr>
        <w:pStyle w:val="ListNumber"/>
      </w:pPr>
      <w:r>
        <w:t>Staff who see a FMS.2 rule broken report it the same shift to the Engineering In-Charge or the Medical Superintendent.</w:t>
      </w:r>
    </w:p>
    <w:p>
      <w:pPr>
        <w:pStyle w:val="Heading1"/>
      </w:pPr>
      <w:r>
        <w:t>5. What we do</w:t>
      </w:r>
    </w:p>
    <w:p>
      <w:pPr>
        <w:pStyle w:val="Heading2"/>
      </w:pPr>
      <w:r>
        <w:t>5.1 Facilities and space provisions are appropriate to the scope of services</w:t>
      </w:r>
    </w:p>
    <w:p>
      <w:pPr/>
      <w:r>
        <w:t>Facilities and space provisions match the scope of services this hospital actually offers, using national or international guidance (including Atomic Energy Regulatory Board guidance where radiation services are in scope).</w:t>
      </w:r>
    </w:p>
    <w:p>
      <w:pPr/>
      <w:r>
        <w:t>The Engineering In-Charge and Medical Superintendent keep the current space-vs-services map. A service listed without a matching space is escalated.</w:t>
      </w:r>
    </w:p>
    <w:p>
      <w:pPr>
        <w:pStyle w:val="Heading2"/>
      </w:pPr>
      <w:r>
        <w:t>5.2 As built and updated drawings are maintained as per statutory requirements.</w:t>
      </w:r>
    </w:p>
    <w:p>
      <w:pPr/>
      <w:r>
        <w:t>As-built and updated drawings are maintained as required by the applicable registering authority for this site: site layout, floor plans, floor-wise fire-evacuation plans, and separate civil, electrical, extra-low-voltage, plumbing, heating-ventilation-air-conditioning, piped medical-gas and information-technology drawings.</w:t>
      </w:r>
    </w:p>
    <w:p>
      <w:pPr/>
      <w:r>
        <w:t>A named person under the Engineering In-Charge holds the current set. This element does not import a named Act as a checklist for the whole standard.</w:t>
      </w:r>
    </w:p>
    <w:p>
      <w:pPr>
        <w:pStyle w:val="Heading2"/>
      </w:pPr>
      <w:r>
        <w:t>5.3 There are internal and external sign postings in the organisation in a manner understood by the patient, families and community.</w:t>
      </w:r>
    </w:p>
    <w:p>
      <w:pPr/>
      <w:r>
        <w:t>Internal and external sign posting is in a manner patients, families and the community understand (language and/or pictorial; bilingual where this hospital defines). Signs meet applicable statutory posting rules for this site.</w:t>
      </w:r>
    </w:p>
    <w:p>
      <w:pPr/>
      <w:r>
        <w:t>The Engineering In-Charge walks the signs quarterly.</w:t>
      </w:r>
    </w:p>
    <w:p>
      <w:pPr>
        <w:pStyle w:val="Heading2"/>
      </w:pPr>
      <w:r>
        <w:t>5.4 Potable water and electricity are available round the clock</w:t>
      </w:r>
    </w:p>
    <w:p>
      <w:pPr/>
      <w:r>
        <w:t>Potable water and electricity are available round the clock. Potable-water quality is tested at the tap: biochemical at least once in three months and microbiological at least once a month, against the current IS 10500. Dialysis reverse-osmosis inlet water is tested for endotoxin every month where dialysis is in scope.</w:t>
      </w:r>
    </w:p>
    <w:p>
      <w:pPr/>
      <w:r>
        <w:t>A care area without water or power is a stop-work trigger (section 6).</w:t>
      </w:r>
    </w:p>
    <w:p>
      <w:pPr>
        <w:pStyle w:val="Heading2"/>
      </w:pPr>
      <w:r>
        <w:t>5.5 Alternate sources for electricity and water are provided as a backup for any failure / shortage.</w:t>
      </w:r>
    </w:p>
    <w:p>
      <w:pPr/>
      <w:r>
        <w:t>Alternate sources for electricity and water are provided as backup for any failure or shortage (diesel generator, solar, uninterruptible power supply; bore or tanker or extra tanks as this hospital names). Electric load matches demand. National Building Code is a reference for water quantity, not a paste of every clause.</w:t>
      </w:r>
    </w:p>
    <w:p>
      <w:pPr/>
      <w:r>
        <w:t>The Engineering In-Charge owns the backup list. Critical areas have a named continuity action when supply fails.</w:t>
      </w:r>
    </w:p>
    <w:p>
      <w:pPr>
        <w:pStyle w:val="Heading2"/>
      </w:pPr>
      <w:r>
        <w:t>5.6 The organisation tests the functioning of these alternate sources at a predefined frequency.</w:t>
      </w:r>
    </w:p>
    <w:p>
      <w:pPr/>
      <w:r>
        <w:t>The organisation tests these alternate sources at a predefined frequency (default monthly for the diesel generator and a documented water-acceptance test when an emergency source is used). Results are recorded. Refer to FMS.2.d for water quality.</w:t>
      </w:r>
    </w:p>
    <w:p>
      <w:pPr/>
      <w:r>
        <w:t>A backup that is never tested does not satisfy this element.</w:t>
      </w:r>
    </w:p>
    <w:p>
      <w:pPr>
        <w:pStyle w:val="Heading1"/>
      </w:pPr>
      <w:r>
        <w:t>6. Stop-work authority</w:t>
      </w:r>
    </w:p>
    <w:p>
      <w:pPr/>
      <w:r>
        <w:t>Do not start or continue clinical care in an area that has no potable water or no electricity, unless the organisation has declared an emergency under the hospital's non-fire emergency plan and the written service-continuity plan for that failure is running.</w:t>
      </w:r>
    </w:p>
    <w:p>
      <w:pPr/>
      <w:r>
        <w:t>Stop-work applies to starting or continuing routine care in that area. Immediate life-saving care continues while water or power is restored or the patient is moved.</w:t>
      </w:r>
    </w:p>
    <w:p>
      <w:pPr/>
      <w:r>
        <w:t>The person who stops tells the Engineering In-Charge and the Medical Superintendent the same shift. Refusing to run care without water or power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FMS.2 is resourced and followed.</w:t>
            </w:r>
          </w:p>
        </w:tc>
      </w:tr>
      <w:tr>
        <w:tc>
          <w:tcPr>
            <w:tcW w:type="dxa" w:w="4320"/>
          </w:tcPr>
          <w:p>
            <w:r>
              <w:t>Engineering In-Charge</w:t>
            </w:r>
          </w:p>
        </w:tc>
        <w:tc>
          <w:tcPr>
            <w:tcW w:type="dxa" w:w="4320"/>
          </w:tcPr>
          <w:p>
            <w:r>
              <w:t>Owns day-to-day implementation and records for this standard.</w:t>
            </w:r>
          </w:p>
        </w:tc>
      </w:tr>
      <w:tr>
        <w:tc>
          <w:tcPr>
            <w:tcW w:type="dxa" w:w="4320"/>
          </w:tcPr>
          <w:p>
            <w:r>
              <w:t>Quality Coordinator</w:t>
            </w:r>
          </w:p>
        </w:tc>
        <w:tc>
          <w:tcPr>
            <w:tcW w:type="dxa" w:w="4320"/>
          </w:tcPr>
          <w:p>
            <w:r>
              <w:t>Audits this policy quarterly; holds training acknowledgements.</w:t>
            </w:r>
          </w:p>
        </w:tc>
      </w:tr>
      <w:tr>
        <w:tc>
          <w:tcPr>
            <w:tcW w:type="dxa" w:w="4320"/>
          </w:tcPr>
          <w:p>
            <w:r>
              <w:t>departmental leaders</w:t>
            </w:r>
          </w:p>
        </w:tc>
        <w:tc>
          <w:tcPr>
            <w:tcW w:type="dxa" w:w="4320"/>
          </w:tcPr>
          <w:p>
            <w:r>
              <w:t>Run the department-level duties this standard names.</w:t>
            </w:r>
          </w:p>
        </w:tc>
      </w:tr>
    </w:tbl>
    <w:p>
      <w:pPr>
        <w:pStyle w:val="Heading1"/>
      </w:pPr>
      <w:r>
        <w:t>8. Quality monitoring (RCA → CAPA)</w:t>
      </w:r>
    </w:p>
    <w:p>
      <w:pPr/>
      <w:r>
        <w:t>The Quality Coordinator audits this policy quarterly. The audit reviews:</w:t>
      </w:r>
    </w:p>
    <w:p>
      <w:pPr>
        <w:pStyle w:val="ListBullet"/>
      </w:pPr>
      <w:r>
        <w:t>Records for a sample of this standard's objective elements, checked against the What-we-do steps.</w:t>
      </w:r>
    </w:p>
    <w:p>
      <w:pPr>
        <w:pStyle w:val="ListBullet"/>
      </w:pPr>
      <w:r>
        <w:t>CORE objective elements show no critical gaps in the sample.</w:t>
      </w:r>
    </w:p>
    <w:p>
      <w:pPr>
        <w:pStyle w:val="ListBullet"/>
      </w:pPr>
      <w:r>
        <w:t>Stop-work events (if any) are logged with outcome.</w:t>
      </w:r>
    </w:p>
    <w:p>
      <w:pPr/>
      <w:r>
        <w:t>Root-cause analysis is required when a gap found in this audit remains open beyond 90 days.</w:t>
      </w:r>
    </w:p>
    <w:p>
      <w:pPr/>
      <w:r>
        <w:t>This policy is reviewed annually, and sooner after a related facility change, utility failure, equipment recall or fire-plan change.</w:t>
      </w:r>
    </w:p>
    <w:p>
      <w:pPr>
        <w:pStyle w:val="Heading1"/>
      </w:pPr>
      <w:r>
        <w:t>9. Training and staff acknowledgement</w:t>
      </w:r>
    </w:p>
    <w:p>
      <w:pPr/>
      <w:r>
        <w:t>Staff covered by this policy are trained at induction and once a year after that. Training covers the What-we-do steps, non-negotiables and stop-work (if present).</w:t>
      </w:r>
    </w:p>
    <w:p>
      <w:pPr/>
      <w:r>
        <w:t>Staff acknowledgement</w:t>
      </w:r>
    </w:p>
    <w:p>
      <w:pPr/>
      <w:r>
        <w:t>I have read the Policy on Planned Facilities and Environment-Friendly Measures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10. Distribution</w:t>
      </w:r>
    </w:p>
    <w:p>
      <w:pPr/>
      <w:r>
        <w:t>This policy is distributed to:</w:t>
      </w:r>
    </w:p>
    <w:p>
      <w:pPr>
        <w:pStyle w:val="ListBullet"/>
      </w:pPr>
      <w:r>
        <w:t>Medical Superintendent</w:t>
      </w:r>
    </w:p>
    <w:p>
      <w:pPr>
        <w:pStyle w:val="ListBullet"/>
      </w:pPr>
      <w:r>
        <w:t>Engineering In-Charge</w:t>
      </w:r>
    </w:p>
    <w:p>
      <w:pPr>
        <w:pStyle w:val="ListBullet"/>
      </w:pPr>
      <w:r>
        <w:t>Quality Coordinator</w:t>
      </w:r>
    </w:p>
    <w:p>
      <w:pPr>
        <w:pStyle w:val="ListBullet"/>
      </w:pPr>
      <w:r>
        <w:t>departmental leaders</w:t>
      </w:r>
    </w:p>
    <w:p>
      <w:pPr>
        <w:pStyle w:val="ListBullet"/>
      </w:pPr>
      <w:r>
        <w:t>staff covered by FMS.2</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ELV</w:t>
            </w:r>
          </w:p>
        </w:tc>
        <w:tc>
          <w:tcPr>
            <w:tcW w:type="dxa" w:w="4320"/>
          </w:tcPr>
          <w:p>
            <w:r>
              <w:t>Extra Low Voltage</w:t>
            </w:r>
          </w:p>
        </w:tc>
      </w:tr>
      <w:tr>
        <w:tc>
          <w:tcPr>
            <w:tcW w:type="dxa" w:w="4320"/>
          </w:tcPr>
          <w:p>
            <w:r>
              <w:t>FMS</w:t>
            </w:r>
          </w:p>
        </w:tc>
        <w:tc>
          <w:tcPr>
            <w:tcW w:type="dxa" w:w="4320"/>
          </w:tcPr>
          <w:p>
            <w:r>
              <w:t>Facility Management and Safety (NABH Hospitals 6th Edition chapter)</w:t>
            </w:r>
          </w:p>
        </w:tc>
      </w:tr>
      <w:tr>
        <w:tc>
          <w:tcPr>
            <w:tcW w:type="dxa" w:w="4320"/>
          </w:tcPr>
          <w:p>
            <w:r>
              <w:t>HCO</w:t>
            </w:r>
          </w:p>
        </w:tc>
        <w:tc>
          <w:tcPr>
            <w:tcW w:type="dxa" w:w="4320"/>
          </w:tcPr>
          <w:p>
            <w:r>
              <w:t>Hospital (Full Accreditation programme under NABH Hospitals 6th Edition)</w:t>
            </w:r>
          </w:p>
        </w:tc>
      </w:tr>
      <w:tr>
        <w:tc>
          <w:tcPr>
            <w:tcW w:type="dxa" w:w="4320"/>
          </w:tcPr>
          <w:p>
            <w:r>
              <w:t>HVAC</w:t>
            </w:r>
          </w:p>
        </w:tc>
        <w:tc>
          <w:tcPr>
            <w:tcW w:type="dxa" w:w="4320"/>
          </w:tcPr>
          <w:p>
            <w:r>
              <w:t>Heating, Ventilation and Air Conditioning</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12. Traceability to NABH HCO Full Accreditation 6th Edition FMS.2</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FMS.2.a</w:t>
            </w:r>
          </w:p>
        </w:tc>
        <w:tc>
          <w:tcPr>
            <w:tcW w:type="dxa" w:w="1728"/>
          </w:tcPr>
          <w:p>
            <w:r>
              <w:t>Commitment</w:t>
            </w:r>
          </w:p>
        </w:tc>
        <w:tc>
          <w:tcPr>
            <w:tcW w:type="dxa" w:w="1728"/>
          </w:tcPr>
          <w:p>
            <w:r>
              <w:t>Facilities and space provisions are appropriate to the scope of services.</w:t>
            </w:r>
          </w:p>
        </w:tc>
        <w:tc>
          <w:tcPr>
            <w:tcW w:type="dxa" w:w="1728"/>
          </w:tcPr>
          <w:p>
            <w:r>
              <w:t>Section 3; 5.1</w:t>
            </w:r>
          </w:p>
        </w:tc>
        <w:tc>
          <w:tcPr>
            <w:tcW w:type="dxa" w:w="1728"/>
          </w:tcPr>
          <w:p>
            <w:r>
              <w:t>Engineering In-Charge</w:t>
            </w:r>
          </w:p>
        </w:tc>
      </w:tr>
      <w:tr>
        <w:tc>
          <w:tcPr>
            <w:tcW w:type="dxa" w:w="1728"/>
          </w:tcPr>
          <w:p>
            <w:r>
              <w:t>FMS.2.b</w:t>
            </w:r>
          </w:p>
        </w:tc>
        <w:tc>
          <w:tcPr>
            <w:tcW w:type="dxa" w:w="1728"/>
          </w:tcPr>
          <w:p>
            <w:r>
              <w:t>Commitment</w:t>
            </w:r>
          </w:p>
        </w:tc>
        <w:tc>
          <w:tcPr>
            <w:tcW w:type="dxa" w:w="1728"/>
          </w:tcPr>
          <w:p>
            <w:r>
              <w:t>As built and updated drawings are maintained as per statutory requirements.</w:t>
            </w:r>
          </w:p>
        </w:tc>
        <w:tc>
          <w:tcPr>
            <w:tcW w:type="dxa" w:w="1728"/>
          </w:tcPr>
          <w:p>
            <w:r>
              <w:t>Section 3; 5.2</w:t>
            </w:r>
          </w:p>
        </w:tc>
        <w:tc>
          <w:tcPr>
            <w:tcW w:type="dxa" w:w="1728"/>
          </w:tcPr>
          <w:p>
            <w:r>
              <w:t>Engineering In-Charge</w:t>
            </w:r>
          </w:p>
        </w:tc>
      </w:tr>
      <w:tr>
        <w:tc>
          <w:tcPr>
            <w:tcW w:type="dxa" w:w="1728"/>
          </w:tcPr>
          <w:p>
            <w:r>
              <w:t>FMS.2.c</w:t>
            </w:r>
          </w:p>
        </w:tc>
        <w:tc>
          <w:tcPr>
            <w:tcW w:type="dxa" w:w="1728"/>
          </w:tcPr>
          <w:p>
            <w:r>
              <w:t>CORE</w:t>
            </w:r>
          </w:p>
        </w:tc>
        <w:tc>
          <w:tcPr>
            <w:tcW w:type="dxa" w:w="1728"/>
          </w:tcPr>
          <w:p>
            <w:r>
              <w:t>There are internal and external sign postings in the organisation in a manner understood by the patient, families and community.</w:t>
            </w:r>
          </w:p>
        </w:tc>
        <w:tc>
          <w:tcPr>
            <w:tcW w:type="dxa" w:w="1728"/>
          </w:tcPr>
          <w:p>
            <w:r>
              <w:t>Section 3; 5.3</w:t>
            </w:r>
          </w:p>
        </w:tc>
        <w:tc>
          <w:tcPr>
            <w:tcW w:type="dxa" w:w="1728"/>
          </w:tcPr>
          <w:p>
            <w:r>
              <w:t>Engineering In-Charge</w:t>
            </w:r>
          </w:p>
        </w:tc>
      </w:tr>
      <w:tr>
        <w:tc>
          <w:tcPr>
            <w:tcW w:type="dxa" w:w="1728"/>
          </w:tcPr>
          <w:p>
            <w:r>
              <w:t>FMS.2.d</w:t>
            </w:r>
          </w:p>
        </w:tc>
        <w:tc>
          <w:tcPr>
            <w:tcW w:type="dxa" w:w="1728"/>
          </w:tcPr>
          <w:p>
            <w:r>
              <w:t>CORE</w:t>
            </w:r>
          </w:p>
        </w:tc>
        <w:tc>
          <w:tcPr>
            <w:tcW w:type="dxa" w:w="1728"/>
          </w:tcPr>
          <w:p>
            <w:r>
              <w:t>Potable water and electricity are available round the clock.</w:t>
            </w:r>
          </w:p>
        </w:tc>
        <w:tc>
          <w:tcPr>
            <w:tcW w:type="dxa" w:w="1728"/>
          </w:tcPr>
          <w:p>
            <w:r>
              <w:t>Section 3; 5.4; Section 6 Stop-work</w:t>
            </w:r>
          </w:p>
        </w:tc>
        <w:tc>
          <w:tcPr>
            <w:tcW w:type="dxa" w:w="1728"/>
          </w:tcPr>
          <w:p>
            <w:r>
              <w:t>Engineering In-Charge</w:t>
            </w:r>
          </w:p>
        </w:tc>
      </w:tr>
      <w:tr>
        <w:tc>
          <w:tcPr>
            <w:tcW w:type="dxa" w:w="1728"/>
          </w:tcPr>
          <w:p>
            <w:r>
              <w:t>FMS.2.e</w:t>
            </w:r>
          </w:p>
        </w:tc>
        <w:tc>
          <w:tcPr>
            <w:tcW w:type="dxa" w:w="1728"/>
          </w:tcPr>
          <w:p>
            <w:r>
              <w:t>Commitment</w:t>
            </w:r>
          </w:p>
        </w:tc>
        <w:tc>
          <w:tcPr>
            <w:tcW w:type="dxa" w:w="1728"/>
          </w:tcPr>
          <w:p>
            <w:r>
              <w:t>Alternate sources for electricity and water are provided as a backup for any failure / shortage.</w:t>
            </w:r>
          </w:p>
        </w:tc>
        <w:tc>
          <w:tcPr>
            <w:tcW w:type="dxa" w:w="1728"/>
          </w:tcPr>
          <w:p>
            <w:r>
              <w:t>Section 3; 5.5</w:t>
            </w:r>
          </w:p>
        </w:tc>
        <w:tc>
          <w:tcPr>
            <w:tcW w:type="dxa" w:w="1728"/>
          </w:tcPr>
          <w:p>
            <w:r>
              <w:t>Engineering In-Charge</w:t>
            </w:r>
          </w:p>
        </w:tc>
      </w:tr>
      <w:tr>
        <w:tc>
          <w:tcPr>
            <w:tcW w:type="dxa" w:w="1728"/>
          </w:tcPr>
          <w:p>
            <w:r>
              <w:t>FMS.2.f</w:t>
            </w:r>
          </w:p>
        </w:tc>
        <w:tc>
          <w:tcPr>
            <w:tcW w:type="dxa" w:w="1728"/>
          </w:tcPr>
          <w:p>
            <w:r>
              <w:t>Commitment</w:t>
            </w:r>
          </w:p>
        </w:tc>
        <w:tc>
          <w:tcPr>
            <w:tcW w:type="dxa" w:w="1728"/>
          </w:tcPr>
          <w:p>
            <w:r>
              <w:t>The organisation tests the functioning of these alternate sources at a predefined frequency.</w:t>
            </w:r>
          </w:p>
        </w:tc>
        <w:tc>
          <w:tcPr>
            <w:tcW w:type="dxa" w:w="1728"/>
          </w:tcPr>
          <w:p>
            <w:r>
              <w:t>Section 3; 5.6</w:t>
            </w:r>
          </w:p>
        </w:tc>
        <w:tc>
          <w:tcPr>
            <w:tcW w:type="dxa" w:w="1728"/>
          </w:tcPr>
          <w:p>
            <w:r>
              <w:t>Engineering In-Charge</w:t>
            </w:r>
          </w:p>
        </w:tc>
      </w:tr>
    </w:tbl>
    <w:p>
      <w:pPr>
        <w:pStyle w:val="Heading1"/>
      </w:pPr>
      <w:r>
        <w:t>13. Required Records / Evidence Checklist</w:t>
      </w:r>
    </w:p>
    <w:p>
      <w:pPr/>
      <w:r>
        <w:t>Records the hospital holds under this policy, listed by objective element.</w:t>
      </w:r>
    </w:p>
    <w:p>
      <w:pPr>
        <w:pStyle w:val="Heading2"/>
      </w:pPr>
      <w:r>
        <w:t>FMS.2.a — Facilities and space provisions are appropriate to the scope of services.</w:t>
      </w:r>
    </w:p>
    <w:p>
      <w:pPr>
        <w:pStyle w:val="ListBullet"/>
      </w:pPr>
      <w:r>
        <w:t>Current space-versus-services map for each department.</w:t>
      </w:r>
    </w:p>
    <w:p>
      <w:pPr>
        <w:pStyle w:val="ListBullet"/>
      </w:pPr>
      <w:r>
        <w:t>National or international guidance reference used (for example AERB guidance for a radiation area).</w:t>
      </w:r>
    </w:p>
    <w:p>
      <w:pPr>
        <w:pStyle w:val="ListBullet"/>
      </w:pPr>
      <w:r>
        <w:t>Escalation record for any service listed without matching space.</w:t>
      </w:r>
    </w:p>
    <w:p>
      <w:pPr>
        <w:pStyle w:val="Heading2"/>
      </w:pPr>
      <w:r>
        <w:t>FMS.2.b — As built and updated drawings are maintained as per statutory requirements.</w:t>
      </w:r>
    </w:p>
    <w:p>
      <w:pPr>
        <w:pStyle w:val="ListBullet"/>
      </w:pPr>
      <w:r>
        <w:t>Current as-built and updated drawing set: site layout, floor plans, floor-wise evacuation plans, and separate civil, electrical, ELV, plumbing, HVAC, medical-gas and IT drawings.</w:t>
      </w:r>
    </w:p>
    <w:p>
      <w:pPr>
        <w:pStyle w:val="ListBullet"/>
      </w:pPr>
      <w:r>
        <w:t>Named custodian record for the drawing set.</w:t>
      </w:r>
    </w:p>
    <w:p>
      <w:pPr>
        <w:pStyle w:val="ListBullet"/>
      </w:pPr>
      <w:r>
        <w:t>Date of last update against a facility change.</w:t>
      </w:r>
    </w:p>
    <w:p>
      <w:pPr>
        <w:pStyle w:val="Heading2"/>
      </w:pPr>
      <w:r>
        <w:t>FMS.2.c — There are internal and external sign postings in the organisation in a manner understood by the patient, families and community.</w:t>
      </w:r>
    </w:p>
    <w:p>
      <w:pPr>
        <w:pStyle w:val="ListBullet"/>
      </w:pPr>
      <w:r>
        <w:t>Signage inventory or walk log by area, noting language and/or pictorial form and bilingual coverage.</w:t>
      </w:r>
    </w:p>
    <w:p>
      <w:pPr>
        <w:pStyle w:val="ListBullet"/>
      </w:pPr>
      <w:r>
        <w:t>Statutory posting-requirement reference applicable to this site.</w:t>
      </w:r>
    </w:p>
    <w:p>
      <w:pPr>
        <w:pStyle w:val="ListBullet"/>
      </w:pPr>
      <w:r>
        <w:t>Quarterly signage-walk record.</w:t>
      </w:r>
    </w:p>
    <w:p>
      <w:pPr>
        <w:pStyle w:val="Heading2"/>
      </w:pPr>
      <w:r>
        <w:t>FMS.2.d — Potable water and electricity are available round the clock.</w:t>
      </w:r>
    </w:p>
    <w:p>
      <w:pPr>
        <w:pStyle w:val="ListBullet"/>
      </w:pPr>
      <w:r>
        <w:t>Potable-water test results: biochemical at least quarterly and microbiological at least monthly, against IS 10500.</w:t>
      </w:r>
    </w:p>
    <w:p>
      <w:pPr>
        <w:pStyle w:val="ListBullet"/>
      </w:pPr>
      <w:r>
        <w:t>Dialysis reverse-osmosis inlet-water endotoxin test record, where dialysis is in scope.</w:t>
      </w:r>
    </w:p>
    <w:p>
      <w:pPr>
        <w:pStyle w:val="ListBullet"/>
      </w:pPr>
      <w:r>
        <w:t>Continuity log confirming no unplanned water or power outage in a care area without the hospital's emergency continuity plan activating.</w:t>
      </w:r>
    </w:p>
    <w:p>
      <w:pPr>
        <w:pStyle w:val="Heading2"/>
      </w:pPr>
      <w:r>
        <w:t>FMS.2.e — Alternate sources for electricity and water are provided as a backup for any failure / shortage.</w:t>
      </w:r>
    </w:p>
    <w:p>
      <w:pPr>
        <w:pStyle w:val="ListBullet"/>
      </w:pPr>
      <w:r>
        <w:t>Backup-source inventory: diesel generator, solar, uninterruptible power supply, bore/tanker/extra tanks as named.</w:t>
      </w:r>
    </w:p>
    <w:p>
      <w:pPr>
        <w:pStyle w:val="ListBullet"/>
      </w:pPr>
      <w:r>
        <w:t>Electric-load calculation matching demand.</w:t>
      </w:r>
    </w:p>
    <w:p>
      <w:pPr>
        <w:pStyle w:val="ListBullet"/>
      </w:pPr>
      <w:r>
        <w:t>Continuity-action record naming each critical area's backup path.</w:t>
      </w:r>
    </w:p>
    <w:p>
      <w:pPr>
        <w:pStyle w:val="Heading2"/>
      </w:pPr>
      <w:r>
        <w:t>FMS.2.f — The organisation tests the functioning of these alternate sources at a predefined frequency.</w:t>
      </w:r>
    </w:p>
    <w:p>
      <w:pPr>
        <w:pStyle w:val="ListBullet"/>
      </w:pPr>
      <w:r>
        <w:t>Diesel-generator test log at the defined frequency (default monthly).</w:t>
      </w:r>
    </w:p>
    <w:p>
      <w:pPr>
        <w:pStyle w:val="ListBullet"/>
      </w:pPr>
      <w:r>
        <w:t>Water-acceptance test record for any occasion an emergency water source was used.</w:t>
      </w:r>
    </w:p>
    <w:p>
      <w:pPr>
        <w:pStyle w:val="ListBullet"/>
      </w:pPr>
      <w:r>
        <w:t>Corrective-action record for any failed alternate-source test.</w:t>
      </w:r>
    </w:p>
    <w:p>
      <w:pPr>
        <w:pStyle w:val="Heading1"/>
      </w:pPr>
      <w:r>
        <w:t>14. References</w:t>
      </w:r>
    </w:p>
    <w:p>
      <w:pPr>
        <w:pStyle w:val="ListBullet"/>
      </w:pPr>
      <w:r>
        <w:t>National Accreditation Board for Hospitals and Healthcare Providers (NABH), Accreditation Standards for Hospitals, 6th Edition (January 2025) — Facility Management and Safety, standard FMS.2.</w:t>
      </w:r>
    </w:p>
    <w:p>
      <w:pPr>
        <w:pStyle w:val="ListBullet"/>
      </w:pPr>
      <w:r>
        <w:t>NABH Guidebook to Accreditation Standards for Hospitals, 6th Edition — FMS.2 interpretations.</w:t>
      </w:r>
    </w:p>
    <w:p>
      <w:pPr>
        <w:pStyle w:val="ListBullet"/>
      </w:pPr>
      <w:r>
        <w:t>Bureau of Indian Standards. IS 10500:2012 (or current version) — Drinking Water Specification. Referenced for potable-water quality testing (biochemical and microbiological) at the point of use.</w:t>
      </w:r>
    </w:p>
    <w:p>
      <w:pPr>
        <w:pStyle w:val="ListBullet"/>
      </w:pPr>
      <w:r>
        <w:t>Bureau of Indian Standards. National Building Code of India (current version). Referenced for estimating alternate water-supply quantity requirements.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