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Medication Reconciliation at Admission, Transfer and Discharge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MOM.4.e (CORE)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reconciles a patient's medications at every transition point, so nothing is accidentally omitted, duplicated, or continued in error.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at all three mandatory transition points: admission, transfer between wards or departments, and discharge.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Treating Doctor / Nurse: </w:t>
      </w:r>
      <w:r>
        <w:t xml:space="preserve">completes and documents reconciliation at each transition point, and communicates it at handover.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At admission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Take a best-possible medication history — every medication the patient was taking before admission, including over-the-counter and herbal products.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Compare the home medication list against the admission orders and document any discrepancy.</w:t>
      </w:r>
    </w:p>
    <w:p>
      <w:pPr>
        <w:pStyle w:val="Heading2"/>
        <w:spacing w:after="100" w:before="250"/>
      </w:pPr>
      <w:r>
        <w:t xml:space="preserve">4.2 At transfer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Reconcile the current medication list against the new unit's orders whenever a patient moves between wards or departments.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Communicate the reconciled list at verbal handover, not only in writing.</w:t>
      </w:r>
    </w:p>
    <w:p>
      <w:pPr>
        <w:pStyle w:val="Heading2"/>
        <w:spacing w:after="100" w:before="250"/>
      </w:pPr>
      <w:r>
        <w:t xml:space="preserve">4.3 At discharge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Reconcile the discharge medication list against both the admission medications and everything prescribed during the stay.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Explain every change from the patient's pre-admission medications to the patient or family, and document that this was done.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 6 of the MOM.4 Required Records pack: Medication Reconciliation Record.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Safe and Rational Prescription of Medications (HCO/MOM/POL/04) — MOM.4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annually, and immediately after any adverse event linked to a reconciliation gap.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World Health Organization. (2014). High5s Standard Operating Protocol: Medication Reconciliation. </w:t>
      </w:r>
      <w:hyperlink r:id="rId8">
        <w:r>
          <w:rPr>
            <w:color w:val="0563C1"/>
            <w:u w:val="single"/>
          </w:rPr>
          <w:t>https://www.who.int/publications/m/item/high5s-standard-operating-protocol-medication-reconciliation</w:t>
        </w:r>
      </w:hyperlink>
      <w:r>
        <w:t xml:space="preserve"> — the three-transition-point structure (admission, transfer, discharge) this SOP follows.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who.int/publications/m/item/high5s-standard-operating-protocol-medication-reconciliation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2026-09-20T03:22:23.902Z</dcterms:created>
  <dcterms:modified xsi:type="dcterms:W3CDTF">2026-09-20T03:22:23.902Z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