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sz w:val="32"/>
          <w:szCs w:val="32"/>
        </w:rPr>
        <w:t xml:space="preserve">Standard Operating Procedure</w:t>
      </w:r>
    </w:p>
    <w:p>
      <w:pPr>
        <w:spacing w:after="60"/>
      </w:pPr>
      <w:r>
        <w:rPr>
          <w:b/>
          <w:bCs/>
          <w:color w:val="444444"/>
          <w:sz w:val="26"/>
          <w:szCs w:val="26"/>
        </w:rPr>
        <w:t xml:space="preserve">Safe Prescribing — Allergy Check, Completeness and Decision Support</w:t>
      </w:r>
    </w:p>
    <w:p>
      <w:pPr>
        <w:spacing w:after="250"/>
      </w:pPr>
      <w:r>
        <w:rPr>
          <w:i/>
          <w:iCs/>
          <w:color w:val="666666"/>
        </w:rPr>
        <w:t xml:space="preserve">«Hospital Name» — Supports MOM.4.a, MOM.4.b (CORE), MOM.4.c (Stop-Work), MOM.4.d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SOP No.</w:t>
            </w:r>
          </w:p>
        </w:tc>
        <w:tc>
          <w:tcPr>
            <w:tcW w:type="dxa" w:w="2340"/>
            <w:gridSpan w:val="1"/>
          </w:tcPr>
          <w:p>
            <w:r>
              <w:t xml:space="preserve">[Hospital to define]</w:t>
            </w:r>
          </w:p>
        </w:tc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Version</w:t>
            </w:r>
          </w:p>
        </w:tc>
        <w:tc>
          <w:tcPr>
            <w:tcW w:type="dxa" w:w="2340"/>
            <w:gridSpan w:val="1"/>
          </w:tcPr>
          <w:p>
            <w:r>
              <w:t xml:space="preserve">1.0</w:t>
            </w:r>
          </w:p>
        </w:tc>
      </w:tr>
      <w:tr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Effective Date</w:t>
            </w:r>
          </w:p>
        </w:tc>
        <w:tc>
          <w:tcPr>
            <w:tcW w:type="dxa" w:w="2340"/>
            <w:gridSpan w:val="1"/>
          </w:tcPr>
          <w:p>
            <w:r>
              <w:t xml:space="preserve">________</w:t>
            </w:r>
          </w:p>
        </w:tc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Review Frequency</w:t>
            </w:r>
          </w:p>
        </w:tc>
        <w:tc>
          <w:tcPr>
            <w:tcW w:type="dxa" w:w="2340"/>
            <w:gridSpan w:val="1"/>
          </w:tcPr>
          <w:p>
            <w:r>
              <w:t xml:space="preserve">Annual, or on change</w:t>
            </w:r>
          </w:p>
        </w:tc>
      </w:tr>
      <w:tr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Prepared By</w:t>
            </w:r>
          </w:p>
        </w:tc>
        <w:tc>
          <w:tcPr>
            <w:tcW w:type="dxa" w:w="7020"/>
            <w:gridSpan w:val="3"/>
          </w:tcPr>
          <w:p>
            <w:r>
              <w:t xml:space="preserve">Quality Coordinator   Name: ________   Signature: ________</w:t>
            </w:r>
          </w:p>
        </w:tc>
      </w:tr>
      <w:tr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Approved By</w:t>
            </w:r>
          </w:p>
        </w:tc>
        <w:tc>
          <w:tcPr>
            <w:tcW w:type="dxa" w:w="7020"/>
            <w:gridSpan w:val="3"/>
          </w:tcPr>
          <w:p>
            <w:r>
              <w:t xml:space="preserve">Medical Superintendent   Name: ________   Signature: ________</w:t>
            </w:r>
          </w:p>
        </w:tc>
      </w:tr>
    </w:tbl>
    <w:p>
      <w:pPr>
        <w:spacing w:after="250"/>
      </w:pPr>
    </w:p>
    <w:p>
      <w:pPr>
        <w:pStyle w:val="Heading1"/>
        <w:spacing w:after="150" w:before="300"/>
      </w:pPr>
      <w:r>
        <w:t xml:space="preserve">1. Purpose</w:t>
      </w:r>
    </w:p>
    <w:p>
      <w:pPr>
        <w:spacing w:after="150"/>
      </w:pPr>
      <w:r>
        <w:t xml:space="preserve">This SOP describes how «Hospital Name» prescribes rationally and safely — checking allergy history before every prescription, writing every prescription with all required elements, and using decision-support tools where available.</w:t>
      </w:r>
    </w:p>
    <w:p>
      <w:pPr>
        <w:pStyle w:val="Heading1"/>
        <w:spacing w:after="150" w:before="300"/>
      </w:pPr>
      <w:r>
        <w:t xml:space="preserve">2. Scope</w:t>
      </w:r>
    </w:p>
    <w:p>
      <w:pPr>
        <w:spacing w:after="150"/>
      </w:pPr>
      <w:r>
        <w:t xml:space="preserve">Applies to every outpatient and inpatient prescription written at «Hospital Name».</w:t>
      </w:r>
    </w:p>
    <w:p>
      <w:pPr>
        <w:pStyle w:val="Heading1"/>
        <w:spacing w:after="150" w:before="300"/>
      </w:pPr>
      <w:r>
        <w:t xml:space="preserve">3. Responsibility</w:t>
      </w:r>
    </w:p>
    <w:p>
      <w:pPr>
        <w:spacing w:after="100"/>
      </w:pPr>
      <w:r>
        <w:rPr>
          <w:b/>
          <w:bCs/>
        </w:rPr>
        <w:t xml:space="preserve">Prescribing Clinician: </w:t>
      </w:r>
      <w:r>
        <w:t xml:space="preserve">checks allergy/ADR history, writes a complete prescription, and follows the Code of Medical Ethics-2002.</w:t>
      </w:r>
    </w:p>
    <w:p>
      <w:pPr>
        <w:spacing w:after="100"/>
      </w:pPr>
      <w:r>
        <w:rPr>
          <w:b/>
          <w:bCs/>
        </w:rPr>
        <w:t xml:space="preserve">Pharmacist: </w:t>
      </w:r>
      <w:r>
        <w:t xml:space="preserve">holds non-compliant prescriptions and confirms decision-support alerts are actioned.</w:t>
      </w:r>
    </w:p>
    <w:p>
      <w:pPr>
        <w:pStyle w:val="Heading1"/>
        <w:spacing w:after="150" w:before="300"/>
      </w:pPr>
      <w:r>
        <w:t xml:space="preserve">4. Procedure</w:t>
      </w:r>
    </w:p>
    <w:p>
      <w:pPr>
        <w:pStyle w:val="Heading2"/>
        <w:spacing w:after="100" w:before="250"/>
      </w:pPr>
      <w:r>
        <w:t xml:space="preserve">4.1 Allergy and adverse-reaction check</w:t>
      </w:r>
    </w:p>
    <w:p>
      <w:pPr>
        <w:spacing w:after="120"/>
      </w:pPr>
      <w:r>
        <w:rPr>
          <w:b/>
          <w:bCs/>
        </w:rPr>
        <w:t xml:space="preserve">1. </w:t>
      </w:r>
      <w:r>
        <w:t xml:space="preserve">Ascertain drug allergies and previous adverse drug reactions before every prescription — this step comes first, before the medication is decided.</w:t>
      </w:r>
    </w:p>
    <w:p>
      <w:pPr>
        <w:spacing w:after="120"/>
      </w:pPr>
      <w:r>
        <w:rPr>
          <w:b/>
          <w:bCs/>
        </w:rPr>
        <w:t xml:space="preserve">2. </w:t>
      </w:r>
      <w:r>
        <w:t xml:space="preserve">Document the allergy/ADR check in the patient record, whether the finding is positive or negative.</w:t>
      </w:r>
    </w:p>
    <w:p>
      <w:pPr>
        <w:pStyle w:val="Heading2"/>
        <w:spacing w:after="100" w:before="250"/>
      </w:pPr>
      <w:r>
        <w:t xml:space="preserve">4.2 Writing the prescription</w:t>
      </w:r>
    </w:p>
    <w:p>
      <w:pPr>
        <w:spacing w:after="120"/>
      </w:pPr>
      <w:r>
        <w:rPr>
          <w:b/>
          <w:bCs/>
        </w:rPr>
        <w:t xml:space="preserve">1. </w:t>
      </w:r>
      <w:r>
        <w:t xml:space="preserve">Include all seven minimum elements on every prescription: patient name, age/weight (paediatric), date, medication name, dose, route, frequency, and duration, plus the prescriber's name and signature.</w:t>
      </w:r>
    </w:p>
    <w:p>
      <w:pPr>
        <w:spacing w:after="120"/>
      </w:pPr>
      <w:r>
        <w:rPr>
          <w:b/>
          <w:bCs/>
        </w:rPr>
        <w:t xml:space="preserve">2. </w:t>
      </w:r>
      <w:r>
        <w:t xml:space="preserve">Write in capital letters where handwritten, and use only approved, non-error-prone abbreviations.</w:t>
      </w:r>
    </w:p>
    <w:p>
      <w:pPr>
        <w:spacing w:after="120"/>
      </w:pPr>
      <w:r>
        <w:t>Common error-prone abbreviations to avoid include "U" for units (misread as a zero, causing a 10-fold overdose), "QD"/"QOD" (mistaken for each other), a trailing zero as in "1.0 mg" (misread as 10 mg), and "MgSO4"/"MSO4" (confused with each other) — see the ISMP List of Error-Prone Abbreviations, Symbols, and Dose Designations (ismp.org).</w:t>
      </w:r>
    </w:p>
    <w:p>
      <w:pPr>
        <w:spacing w:after="120"/>
      </w:pPr>
      <w:r>
        <w:rPr>
          <w:b/>
          <w:bCs/>
        </w:rPr>
        <w:t xml:space="preserve">3. </w:t>
      </w:r>
      <w:r>
        <w:t xml:space="preserve">Where a prescription is missing a required element or uses a non-compliant abbreviation, the pharmacist holds it and contacts the prescriber for correction before dispensing.</w:t>
      </w:r>
    </w:p>
    <w:p>
      <w:pPr>
        <w:pStyle w:val="Heading2"/>
        <w:spacing w:after="100" w:before="250"/>
      </w:pPr>
      <w:r>
        <w:t xml:space="preserve">4.3 Decision support</w:t>
      </w:r>
    </w:p>
    <w:p>
      <w:pPr>
        <w:spacing w:after="120"/>
      </w:pPr>
      <w:r>
        <w:rPr>
          <w:b/>
          <w:bCs/>
        </w:rPr>
        <w:t xml:space="preserve">1. </w:t>
      </w:r>
      <w:r>
        <w:t xml:space="preserve">Use the available clinician decision-support mechanism — electronic or physical — to check drug interactions, food-drug interactions, therapeutic duplication, and dose adjustments.</w:t>
      </w:r>
    </w:p>
    <w:p>
      <w:pPr>
        <w:spacing w:after="120"/>
      </w:pPr>
      <w:r>
        <w:rPr>
          <w:b/>
          <w:bCs/>
        </w:rPr>
        <w:t xml:space="preserve">2. </w:t>
      </w:r>
      <w:r>
        <w:t xml:space="preserve">Document the alert and the action taken whenever a decision-support alert fires.</w:t>
      </w:r>
    </w:p>
    <w:p>
      <w:pPr>
        <w:pStyle w:val="Heading1"/>
        <w:spacing w:after="150" w:before="300"/>
      </w:pPr>
      <w:r>
        <w:t xml:space="preserve">5. Stop-Work Authority</w:t>
      </w:r>
    </w:p>
    <w:p>
      <w:pPr>
        <w:spacing w:after="150"/>
      </w:pPr>
      <w:r>
        <w:t xml:space="preserve">Do not prescribe without first checking drug allergy and adverse drug reaction history — for every patient, every time.</w:t>
      </w:r>
    </w:p>
    <w:p>
      <w:pPr>
        <w:spacing w:after="150"/>
      </w:pPr>
      <w:r>
        <w:t xml:space="preserve">The pharmacist holds any prescription with a missing required element or a non-approved abbreviation until it is corrected — dispensing does not proceed on a held prescription.</w:t>
      </w:r>
    </w:p>
    <w:p>
      <w:pPr>
        <w:spacing w:after="150"/>
      </w:pPr>
      <w:r>
        <w:t xml:space="preserve">Raising a missed allergy check or an incomplete prescription is never a disciplinary matter, regardless of the prescriber's seniority.</w:t>
      </w:r>
    </w:p>
    <w:p>
      <w:pPr>
        <w:pStyle w:val="Heading1"/>
        <w:spacing w:after="150" w:before="300"/>
      </w:pPr>
      <w:r>
        <w:t xml:space="preserve">6. Records</w:t>
      </w:r>
    </w:p>
    <w:p>
      <w:pPr>
        <w:spacing w:after="150"/>
      </w:pPr>
      <w:r>
        <w:t xml:space="preserve">Supported by Records 1 through 5 of the MOM.4 Required Records pack.</w:t>
      </w:r>
    </w:p>
    <w:p>
      <w:pPr>
        <w:pStyle w:val="Heading1"/>
        <w:spacing w:after="150" w:before="300"/>
      </w:pPr>
      <w:r>
        <w:t xml:space="preserve">7. Related Documents</w:t>
      </w:r>
    </w:p>
    <w:p>
      <w:pPr>
        <w:pStyle w:val="ListParagraph"/>
        <w:numPr>
          <w:ilvl w:val="0"/>
          <w:numId w:val="1"/>
        </w:numPr>
        <w:spacing w:after="80"/>
      </w:pPr>
      <w:r>
        <w:t>Policy on Safe and Rational Prescription of Medications (HCO/MOM/POL/04) — MOM.4 policy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SOP — Verbal Order Process (MOM.4.f)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SOP — Medication Reconciliation (MOM.4.e)</w:t>
      </w:r>
    </w:p>
    <w:p>
      <w:pPr>
        <w:pStyle w:val="Heading1"/>
        <w:spacing w:after="150" w:before="300"/>
      </w:pPr>
      <w:r>
        <w:t xml:space="preserve">8. Review</w:t>
      </w:r>
    </w:p>
    <w:p>
      <w:pPr>
        <w:spacing w:after="150"/>
      </w:pPr>
      <w:r>
        <w:t xml:space="preserve">Reviewed annually, and immediately after any allergy-related adverse event.</w:t>
      </w:r>
    </w:p>
    <w:p>
      <w:pPr>
        <w:pStyle w:val="Heading1"/>
        <w:spacing w:after="150" w:before="300"/>
      </w:pPr>
      <w:r>
        <w:t xml:space="preserve">9. References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National Medical Commission (adopting the Indian Medical Council). (2002). Code of Medical Ethics — Professional Conduct, Etiquette and Ethics Regulations. </w:t>
      </w:r>
      <w:hyperlink r:id="rId8">
        <w:r>
          <w:rPr>
            <w:color w:val="0563C1"/>
            <w:u w:val="single"/>
          </w:rPr>
          <w:t>https://www.nmc.org.in/wp-content/uploads/2017/10/Ethics-Regulations-2002.pdf</w:t>
        </w:r>
      </w:hyperlink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hyperlink" Target="https://www.nmc.org.in/wp-content/uploads/2017/10/Ethics-Regulations-2002.pdf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2026-09-20T03:22:23.605Z</dcterms:created>
  <dcterms:modified xsi:type="dcterms:W3CDTF">2026-09-20T03:22:23.605Z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