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Chemotherapy and Radiopharmaceutical Handling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MOM.9.b, MOM.9.c, MOM.9.d, MOM.9.e (chemotherapy/radiopharmaceuticals)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prepares and handles chemotherapy and radiopharmaceutical agents safely, protecting both patients and staff.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chemotherapy and radiopharmaceutical agent prepared or administered at the hospital.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Medical Oncologist / Authorised Prescriber: </w:t>
      </w:r>
      <w:r>
        <w:t xml:space="preserve">prescribes with demonstrated competency in the relevant agent.</w:t>
      </w:r>
    </w:p>
    <w:p>
      <w:pPr>
        <w:spacing w:after="100"/>
      </w:pPr>
      <w:r>
        <w:rPr>
          <w:b/>
          <w:bCs/>
        </w:rPr>
        <w:t xml:space="preserve">Trained Onco-Pharmacist / Authorised Caregiver: </w:t>
      </w:r>
      <w:r>
        <w:t xml:space="preserve">prepares and administers using required safety equipment.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Chemotherapy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Confirm the prescriber has demonstrated knowledge and competency in chemotherapy — preferably a medical oncologist.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Prepare chemotherapy only in a Class II biosafety cabinet (preferably Class IIA), with appropriate personal protective equipment.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Confirm preparation staff have received special training in hazardous drug handling before assigning them to this duty.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Handle chemotherapy waste and spills per the hospital's hazardous-drug procedure, referencing the current NIOSH hazardous drug classification for the agent.</w:t>
      </w:r>
    </w:p>
    <w:p>
      <w:pPr>
        <w:pStyle w:val="Heading2"/>
        <w:spacing w:after="100" w:before="250"/>
      </w:pPr>
      <w:r>
        <w:t xml:space="preserve">4.2 Radiopharmaceuticals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Confirm the caregiver preparing or administering a radiopharmaceutical is authorised under applicable AERB regulations.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Store and label radiopharmaceuticals per regulatory requirements, with radiation shielding appropriate to the isotope.</w:t>
      </w:r>
    </w:p>
    <w:p>
      <w:pPr>
        <w:pStyle w:val="Heading2"/>
        <w:spacing w:after="100" w:before="250"/>
      </w:pPr>
      <w:r>
        <w:t xml:space="preserve">4.3 Disposal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Dispose of chemotherapy and radiopharmaceutical waste per applicable statutory requirements, keeping the two waste streams separate.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2, 4, and 6 of the MOM.9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Narcotics, Psychotropics, Chemotherapy and Radio-pharmaceuticals (HCO/MOM/POL/09) — MOM.9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Narcotic and Psychotropic Drug Handling (MOM.9)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and immediately after any chemotherapy spill or preparation-related exposure incident.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National Institute for Occupational Safety and Health (NIOSH), Centers for Disease Control and Prevention. (2024). NIOSH List of Hazardous Drugs in Healthcare Settings, 2024. </w:t>
      </w:r>
      <w:hyperlink r:id="rId8">
        <w:r>
          <w:rPr>
            <w:color w:val="0563C1"/>
            <w:u w:val="single"/>
          </w:rPr>
          <w:t>https://www.cdc.gov/niosh/publications/hcp/numbered/2025-103.html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Atomic Energy Regulatory Board, Government of India. (2004). Atomic Energy (Radiation Protection) Rules, 2004. </w:t>
      </w:r>
      <w:hyperlink r:id="rId9">
        <w:r>
          <w:rPr>
            <w:color w:val="0563C1"/>
            <w:u w:val="single"/>
          </w:rPr>
          <w:t>https://www.aerb.gov.in/images/PDF/RPR2004-with-corrigendum.pdf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cdc.gov/niosh/publications/hcp/numbered/2025-103.html" TargetMode="External"/><Relationship Id="rId9" Type="http://schemas.openxmlformats.org/officeDocument/2006/relationships/hyperlink" Target="https://www.aerb.gov.in/images/PDF/RPR2004-with-corrigendum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2026-09-20T03:29:23.130Z</dcterms:created>
  <dcterms:modified xsi:type="dcterms:W3CDTF">2026-09-20T03:29:23.130Z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