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on Informed Decision-Making, Care Planning and Patient Education</w:t>
      </w:r>
    </w:p>
    <w:p>
      <w:pPr/>
      <w:r>
        <w:t>«Hospital Name»</w:t>
      </w:r>
    </w:p>
    <w:p>
      <w:pPr>
        <w:pStyle w:val="Heading1"/>
      </w:pPr>
      <w:r>
        <w:t>Document control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Document No.</w:t>
            </w:r>
          </w:p>
        </w:tc>
        <w:tc>
          <w:tcPr>
            <w:tcW w:type="dxa" w:w="2160"/>
          </w:tcPr>
          <w:p>
            <w:r>
              <w:t>HCO/PRE/POL/03</w:t>
            </w:r>
          </w:p>
        </w:tc>
        <w:tc>
          <w:tcPr>
            <w:tcW w:type="dxa" w:w="2160"/>
          </w:tcPr>
          <w:p>
            <w:r>
              <w:t>Version</w:t>
            </w:r>
          </w:p>
        </w:tc>
        <w:tc>
          <w:tcPr>
            <w:tcW w:type="dxa" w:w="2160"/>
          </w:tcPr>
          <w:p>
            <w:r>
              <w:t>2.0</w:t>
            </w:r>
          </w:p>
        </w:tc>
      </w:tr>
      <w:tr>
        <w:tc>
          <w:tcPr>
            <w:tcW w:type="dxa" w:w="2160"/>
          </w:tcPr>
          <w:p>
            <w:r>
              <w:t>Issue No.</w:t>
            </w:r>
          </w:p>
        </w:tc>
        <w:tc>
          <w:tcPr>
            <w:tcW w:type="dxa" w:w="2160"/>
          </w:tcPr>
          <w:p>
            <w:r>
              <w:t>01</w:t>
            </w:r>
          </w:p>
        </w:tc>
        <w:tc>
          <w:tcPr>
            <w:tcW w:type="dxa" w:w="2160"/>
          </w:tcPr>
          <w:p>
            <w:r>
              <w:t>Review due</w:t>
            </w:r>
          </w:p>
        </w:tc>
        <w:tc>
          <w:tcPr>
            <w:tcW w:type="dxa" w:w="2160"/>
          </w:tcPr>
          <w:p>
            <w:r>
              <w:t>One year from implementation</w:t>
            </w:r>
          </w:p>
        </w:tc>
      </w:tr>
      <w:tr>
        <w:tc>
          <w:tcPr>
            <w:tcW w:type="dxa" w:w="2160"/>
          </w:tcPr>
          <w:p>
            <w:r>
              <w:t>Date created</w:t>
            </w:r>
          </w:p>
        </w:tc>
        <w:tc>
          <w:tcPr>
            <w:tcW w:type="dxa" w:w="2160"/>
          </w:tcPr>
          <w:p>
            <w:r>
              <w:t>________</w:t>
            </w:r>
          </w:p>
        </w:tc>
        <w:tc>
          <w:tcPr>
            <w:tcW w:type="dxa" w:w="2160"/>
          </w:tcPr>
          <w:p>
            <w:r>
              <w:t>Date of implementation</w:t>
            </w:r>
          </w:p>
        </w:tc>
        <w:tc>
          <w:tcPr>
            <w:tcW w:type="dxa" w:w="2160"/>
          </w:tcPr>
          <w:p>
            <w:r>
              <w:t>________</w:t>
            </w:r>
          </w:p>
        </w:tc>
      </w:tr>
      <w:tr>
        <w:tc>
          <w:tcPr>
            <w:tcW w:type="dxa" w:w="2160"/>
          </w:tcPr>
          <w:p>
            <w:r>
              <w:t>Prepared by</w:t>
            </w:r>
          </w:p>
        </w:tc>
        <w:tc>
          <w:tcPr>
            <w:tcW w:type="dxa" w:w="6480"/>
            <w:gridSpan w:val="3"/>
          </w:tcPr>
          <w:p>
            <w:r>
              <w:t>Patient Rights Officer  Name: ________  Signature: ________</w:t>
            </w:r>
          </w:p>
        </w:tc>
      </w:tr>
      <w:tr>
        <w:tc>
          <w:tcPr>
            <w:tcW w:type="dxa" w:w="2160"/>
          </w:tcPr>
          <w:p>
            <w:r>
              <w:t>Reviewed by</w:t>
            </w:r>
          </w:p>
        </w:tc>
        <w:tc>
          <w:tcPr>
            <w:tcW w:type="dxa" w:w="6480"/>
            <w:gridSpan w:val="3"/>
          </w:tcPr>
          <w:p>
            <w:r>
              <w:t>Quality Coordinator  Name: ________  Signature: ________</w:t>
            </w:r>
          </w:p>
        </w:tc>
      </w:tr>
      <w:tr>
        <w:tc>
          <w:tcPr>
            <w:tcW w:type="dxa" w:w="2160"/>
          </w:tcPr>
          <w:p>
            <w:r>
              <w:t>Approved by</w:t>
            </w:r>
          </w:p>
        </w:tc>
        <w:tc>
          <w:tcPr>
            <w:tcW w:type="dxa" w:w="6480"/>
            <w:gridSpan w:val="3"/>
          </w:tcPr>
          <w:p>
            <w:r>
              <w:t>Medical Superintendent  Name: ________  Signature: ________</w:t>
            </w:r>
          </w:p>
        </w:tc>
      </w:tr>
    </w:tbl>
    <w:p>
      <w:pPr/>
      <w:r>
        <w:t>A blank marked ________ must be completed before issue.</w:t>
      </w:r>
    </w:p>
    <w:p>
      <w:pPr>
        <w:pStyle w:val="Heading1"/>
      </w:pPr>
      <w:r>
        <w:t>Statement of intent</w:t>
      </w:r>
    </w:p>
    <w:p>
      <w:pPr/>
      <w:r>
        <w:t>«Hospital Name» explains proposed care, risks, benefits, alternatives, and expected outcomes to patients and families; involves them in preparing and modifying the care plan; keeps them informed of diagnostic results and any change in condition; and provides multi-disciplinary counselling where appropriate.</w:t>
      </w:r>
    </w:p>
    <w:p>
      <w:pPr>
        <w:pStyle w:val="Heading1"/>
      </w:pPr>
      <w:r>
        <w:t>1. Purpose</w:t>
      </w:r>
    </w:p>
    <w:p>
      <w:pPr/>
      <w:r>
        <w:t>This policy explains how «Hospital Name» educates patients and/or family members to make informed decisions and involves them in the care planning and delivery process: explaining proposed care and its risks, benefits and alternatives; involving them in the care plan; informing them of diagnostic results and condition changes; and providing multi-disciplinary counselling when appropriate.</w:t>
      </w:r>
    </w:p>
    <w:p>
      <w:pPr/>
      <w:r>
        <w:t>The formal consent process for high-risk procedures is covered in the hospital's other policies.</w:t>
      </w:r>
    </w:p>
    <w:p>
      <w:pPr>
        <w:pStyle w:val="Heading1"/>
      </w:pPr>
      <w:r>
        <w:t>2. Scope</w:t>
      </w:r>
    </w:p>
    <w:p>
      <w:pPr/>
      <w:r>
        <w:t>This policy applies to attending doctors, treating physicians and their teams, and all patients and/or family members receiving care at «Hospital Name».</w:t>
      </w:r>
    </w:p>
    <w:p>
      <w:pPr>
        <w:pStyle w:val="Heading1"/>
      </w:pPr>
      <w:r>
        <w:t>3. Policy standards</w:t>
      </w:r>
    </w:p>
    <w:p>
      <w:pPr/>
      <w:r>
        <w:t>«Hospital Name»'s attending doctors explain the proposed care, its risks, benefits, alternatives, expected results and possible complications to the patient and/or family in a language they can understand, and involve them in preparing and modifying the care plan.</w:t>
      </w:r>
    </w:p>
    <w:p>
      <w:pPr/>
      <w:r>
        <w:t>Patients and/or family members are informed about diagnostic results, the diagnosis, and any change in the patient's condition in a timely manner, and receive multi-disciplinary counselling when the situation calls for it.</w:t>
      </w:r>
    </w:p>
    <w:p>
      <w:pPr>
        <w:pStyle w:val="Heading1"/>
      </w:pPr>
      <w:r>
        <w:t>4. Non-negotiable rules</w:t>
      </w:r>
    </w:p>
    <w:p>
      <w:pPr>
        <w:pStyle w:val="ListBullet"/>
      </w:pPr>
      <w:r>
        <w:t>Do not proceed with proposed care without explaining it, including risks, benefits and alternatives, to the patient and/or family in a language they can understand.</w:t>
      </w:r>
    </w:p>
    <w:p>
      <w:pPr>
        <w:pStyle w:val="ListBullet"/>
      </w:pPr>
      <w:r>
        <w:t>Do not withhold explanation of diagnostic test results and the diagnosis from the patient and/or family.</w:t>
      </w:r>
    </w:p>
    <w:p>
      <w:pPr>
        <w:pStyle w:val="ListBullet"/>
      </w:pPr>
      <w:r>
        <w:t>Do not delay explaining a change in the patient's condition — improvement, deterioration or complications — once the change is known.</w:t>
      </w:r>
    </w:p>
    <w:p>
      <w:pPr>
        <w:pStyle w:val="ListBullet"/>
      </w:pPr>
      <w:r>
        <w:t>Do not exclude the multi-disciplinary team from counselling in situations that call for it.</w:t>
      </w:r>
    </w:p>
    <w:p>
      <w:pPr>
        <w:pStyle w:val="Heading1"/>
      </w:pPr>
      <w:r>
        <w:t>5. What we do</w:t>
      </w:r>
    </w:p>
    <w:p>
      <w:pPr>
        <w:pStyle w:val="Heading2"/>
      </w:pPr>
      <w:r>
        <w:t>5.1 Explain the proposed care, risks, benefits and alternatives</w:t>
      </w:r>
    </w:p>
    <w:p>
      <w:pPr/>
      <w:r>
        <w:t>The proposed care, including referral to internal and/or external services, is discussed by the attending doctor with the patient and/or family members, in a language they can understand. Expected outcomes of treatment are explained at periodic intervals by the treating physician or their team. Possible complications are clearly communicated.</w:t>
      </w:r>
    </w:p>
    <w:p>
      <w:pPr>
        <w:pStyle w:val="Heading2"/>
      </w:pPr>
      <w:r>
        <w:t>5.2 Involve the patient and family in the care plan</w:t>
      </w:r>
    </w:p>
    <w:p>
      <w:pPr/>
      <w:r>
        <w:t>The care plan is prepared and modified in consultation with the patient and/or family members. During preparation, the patient and/or family are explained the various treatment options, risks and benefits. Religious, cultural and spiritual views of the patient and/or family are considered during care delivery, within the limits of applicable statutory requirements.</w:t>
      </w:r>
    </w:p>
    <w:p>
      <w:pPr>
        <w:pStyle w:val="Heading2"/>
      </w:pPr>
      <w:r>
        <w:t>5.3 Inform patients and family of diagnostic results</w:t>
      </w:r>
    </w:p>
    <w:p>
      <w:pPr/>
      <w:r>
        <w:t>Results of all diagnostic tests are explained, at least in broad terms, to the patient and family members, along with their implication on progress and treatment.</w:t>
      </w:r>
    </w:p>
    <w:p>
      <w:pPr>
        <w:pStyle w:val="Heading2"/>
      </w:pPr>
      <w:r>
        <w:t>5.4 Explain any change in the patient's condition</w:t>
      </w:r>
    </w:p>
    <w:p>
      <w:pPr/>
      <w:r>
        <w:t>The patient and/or family members are explained about any change in the patient's condition — improvement, deterioration or complications — in a timely manner.</w:t>
      </w:r>
    </w:p>
    <w:p>
      <w:pPr>
        <w:pStyle w:val="Heading2"/>
      </w:pPr>
      <w:r>
        <w:t>5.5 Provide multi-disciplinary counselling when appropriate</w:t>
      </w:r>
    </w:p>
    <w:p>
      <w:pPr/>
      <w:r>
        <w:t>«Hospital Name» identifies situations requiring multi-disciplinary counselling — such as counselling for family members of critically ill patients, potential organ donors and/or their family, and long-stay patients. Members of the multi-disciplinary team — doctors from different specialties, nurses and physiotherapists — take part in the counselling as relevant to the situation.</w:t>
      </w:r>
    </w:p>
    <w:p>
      <w:pPr>
        <w:pStyle w:val="Heading1"/>
      </w:pPr>
      <w:r>
        <w:t>6. Stop-work authority</w:t>
      </w:r>
    </w:p>
    <w:p>
      <w:pPr/>
      <w:r>
        <w:t>Not applicable. This standard has no stop-work authority. Gaps in explaining proposed care, care-plan consultation, or condition updates are addressed through the hospital's quality monitoring and CAPA process (Section 8), not through an immediate stop-work trigger. Consent requirements for high-risk procedures are covered in the hospital's other policies.</w:t>
      </w:r>
    </w:p>
    <w:p>
      <w:pPr>
        <w:pStyle w:val="Heading1"/>
      </w:pPr>
      <w:r>
        <w:t>7. Governance and responsibility</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Responsibility</w:t>
            </w:r>
          </w:p>
        </w:tc>
      </w:tr>
      <w:tr>
        <w:tc>
          <w:tcPr>
            <w:tcW w:type="dxa" w:w="4320"/>
          </w:tcPr>
          <w:p>
            <w:r>
              <w:t>Medical Superintendent</w:t>
            </w:r>
          </w:p>
        </w:tc>
        <w:tc>
          <w:tcPr>
            <w:tcW w:type="dxa" w:w="4320"/>
          </w:tcPr>
          <w:p>
            <w:r>
              <w:t>Accountable for ensuring patients and families are informed and involved in decision-making across all departments.</w:t>
            </w:r>
          </w:p>
        </w:tc>
      </w:tr>
      <w:tr>
        <w:tc>
          <w:tcPr>
            <w:tcW w:type="dxa" w:w="4320"/>
          </w:tcPr>
          <w:p>
            <w:r>
              <w:t>Patient Rights Officer</w:t>
            </w:r>
          </w:p>
        </w:tc>
        <w:tc>
          <w:tcPr>
            <w:tcW w:type="dxa" w:w="4320"/>
          </w:tcPr>
          <w:p>
            <w:r>
              <w:t>Owns implementation of this policy; monitors compliance with explanation and counselling requirements.</w:t>
            </w:r>
          </w:p>
        </w:tc>
      </w:tr>
      <w:tr>
        <w:tc>
          <w:tcPr>
            <w:tcW w:type="dxa" w:w="4320"/>
          </w:tcPr>
          <w:p>
            <w:r>
              <w:t>Attending/Treating Doctor</w:t>
            </w:r>
          </w:p>
        </w:tc>
        <w:tc>
          <w:tcPr>
            <w:tcW w:type="dxa" w:w="4320"/>
          </w:tcPr>
          <w:p>
            <w:r>
              <w:t>Explains proposed care, risks, benefits, alternatives and outcomes; involves the patient/family in care-plan preparation; explains diagnostic results and condition changes; documents these discussions.</w:t>
            </w:r>
          </w:p>
        </w:tc>
      </w:tr>
      <w:tr>
        <w:tc>
          <w:tcPr>
            <w:tcW w:type="dxa" w:w="4320"/>
          </w:tcPr>
          <w:p>
            <w:r>
              <w:t>Nursing Superintendent</w:t>
            </w:r>
          </w:p>
        </w:tc>
        <w:tc>
          <w:tcPr>
            <w:tcW w:type="dxa" w:w="4320"/>
          </w:tcPr>
          <w:p>
            <w:r>
              <w:t>Supports patient/family understanding through nursing communication and escalates unaddressed information gaps.</w:t>
            </w:r>
          </w:p>
        </w:tc>
      </w:tr>
      <w:tr>
        <w:tc>
          <w:tcPr>
            <w:tcW w:type="dxa" w:w="4320"/>
          </w:tcPr>
          <w:p>
            <w:r>
              <w:t>Quality Coordinator</w:t>
            </w:r>
          </w:p>
        </w:tc>
        <w:tc>
          <w:tcPr>
            <w:tcW w:type="dxa" w:w="4320"/>
          </w:tcPr>
          <w:p>
            <w:r>
              <w:t>Audits this policy; holds training records and staff acknowledgements.</w:t>
            </w:r>
          </w:p>
        </w:tc>
      </w:tr>
    </w:tbl>
    <w:p>
      <w:pPr>
        <w:pStyle w:val="Heading1"/>
      </w:pPr>
      <w:r>
        <w:t>8. Quality monitoring</w:t>
      </w:r>
    </w:p>
    <w:tbl>
      <w:tblPr>
        <w:tblStyle w:val="TableGrid"/>
        <w:tblW w:type="auto" w:w="0"/>
        <w:tblLook w:firstColumn="1" w:firstRow="1" w:lastColumn="0" w:lastRow="0" w:noHBand="0" w:noVBand="1" w:val="04A0"/>
      </w:tblPr>
      <w:tblGrid>
        <w:gridCol w:w="4320"/>
        <w:gridCol w:w="4320"/>
      </w:tblGrid>
      <w:tr>
        <w:tc>
          <w:tcPr>
            <w:tcW w:type="dxa" w:w="4320"/>
          </w:tcPr>
          <w:p>
            <w:r>
              <w:t>Monitoring area</w:t>
            </w:r>
          </w:p>
        </w:tc>
        <w:tc>
          <w:tcPr>
            <w:tcW w:type="dxa" w:w="4320"/>
          </w:tcPr>
          <w:p>
            <w:r>
              <w:t>What is monitored</w:t>
            </w:r>
          </w:p>
        </w:tc>
      </w:tr>
      <w:tr>
        <w:tc>
          <w:tcPr>
            <w:tcW w:type="dxa" w:w="4320"/>
          </w:tcPr>
          <w:p>
            <w:r>
              <w:t>Explanation of proposed care</w:t>
            </w:r>
          </w:p>
        </w:tc>
        <w:tc>
          <w:tcPr>
            <w:tcW w:type="dxa" w:w="4320"/>
          </w:tcPr>
          <w:p>
            <w:r>
              <w:t>Clinical notes/consultation records showing explanation of risks, benefits and alternatives.</w:t>
            </w:r>
          </w:p>
        </w:tc>
      </w:tr>
      <w:tr>
        <w:tc>
          <w:tcPr>
            <w:tcW w:type="dxa" w:w="4320"/>
          </w:tcPr>
          <w:p>
            <w:r>
              <w:t>Care-plan involvement</w:t>
            </w:r>
          </w:p>
        </w:tc>
        <w:tc>
          <w:tcPr>
            <w:tcW w:type="dxa" w:w="4320"/>
          </w:tcPr>
          <w:p>
            <w:r>
              <w:t>Medical record notes of care-plan consultation with patient/family.</w:t>
            </w:r>
          </w:p>
        </w:tc>
      </w:tr>
      <w:tr>
        <w:tc>
          <w:tcPr>
            <w:tcW w:type="dxa" w:w="4320"/>
          </w:tcPr>
          <w:p>
            <w:r>
              <w:t>Diagnostic result communication</w:t>
            </w:r>
          </w:p>
        </w:tc>
        <w:tc>
          <w:tcPr>
            <w:tcW w:type="dxa" w:w="4320"/>
          </w:tcPr>
          <w:p>
            <w:r>
              <w:t>Clinical notes showing diagnostic results were communicated.</w:t>
            </w:r>
          </w:p>
        </w:tc>
      </w:tr>
      <w:tr>
        <w:tc>
          <w:tcPr>
            <w:tcW w:type="dxa" w:w="4320"/>
          </w:tcPr>
          <w:p>
            <w:r>
              <w:t>Condition-change communication</w:t>
            </w:r>
          </w:p>
        </w:tc>
        <w:tc>
          <w:tcPr>
            <w:tcW w:type="dxa" w:w="4320"/>
          </w:tcPr>
          <w:p>
            <w:r>
              <w:t>Clinical notes showing timely communication of condition changes.</w:t>
            </w:r>
          </w:p>
        </w:tc>
      </w:tr>
      <w:tr>
        <w:tc>
          <w:tcPr>
            <w:tcW w:type="dxa" w:w="4320"/>
          </w:tcPr>
          <w:p>
            <w:r>
              <w:t>Multi-disciplinary counselling</w:t>
            </w:r>
          </w:p>
        </w:tc>
        <w:tc>
          <w:tcPr>
            <w:tcW w:type="dxa" w:w="4320"/>
          </w:tcPr>
          <w:p>
            <w:r>
              <w:t>Written situation list; counselling records showing attendance and participation.</w:t>
            </w:r>
          </w:p>
        </w:tc>
      </w:tr>
    </w:tbl>
    <w:p>
      <w:r>
        <w:t>This policy shall be reviewed at least once every year, or earlier if NABH standards change.</w:t>
      </w:r>
    </w:p>
    <w:p>
      <w:pPr>
        <w:pStyle w:val="Heading1"/>
      </w:pPr>
      <w:r>
        <w:t>9. Training and staff acknowledgement</w:t>
      </w:r>
    </w:p>
    <w:p>
      <w:pPr/>
      <w:r>
        <w:t>All attending doctors, treating physicians and their teams shall be familiar with the informed decision-making, care-planning, and patient-education requirements of this policy, at induction and periodically.</w:t>
      </w:r>
    </w:p>
    <w:p>
      <w:pPr/>
      <w:r>
        <w:t>I have read the Policy on Informed Decision-Making, Care Planning and Patient Education of «Hospital Name» and understand my responsibilities under it.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Staff name</w:t>
            </w:r>
          </w:p>
        </w:tc>
        <w:tc>
          <w:tcPr>
            <w:tcW w:type="dxa" w:w="2160"/>
          </w:tcPr>
          <w:p>
            <w:r>
              <w:t>Designation</w:t>
            </w:r>
          </w:p>
        </w:tc>
        <w:tc>
          <w:tcPr>
            <w:tcW w:type="dxa" w:w="2160"/>
          </w:tcPr>
          <w:p>
            <w:r>
              <w:t>Signature</w:t>
            </w:r>
          </w:p>
        </w:tc>
        <w:tc>
          <w:tcPr>
            <w:tcW w:type="dxa" w:w="2160"/>
          </w:tcPr>
          <w:p>
            <w:r>
              <w:t>Date</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r>
        <w:tc>
          <w:tcPr>
            <w:tcW w:type="dxa" w:w="2160"/>
          </w:tcPr>
          <w:p>
            <w:r>
              <w:t>________</w:t>
            </w:r>
          </w:p>
        </w:tc>
        <w:tc>
          <w:tcPr>
            <w:tcW w:type="dxa" w:w="2160"/>
          </w:tcPr>
          <w:p>
            <w:r>
              <w:t>________</w:t>
            </w:r>
          </w:p>
        </w:tc>
        <w:tc>
          <w:tcPr>
            <w:tcW w:type="dxa" w:w="2160"/>
          </w:tcPr>
          <w:p>
            <w:r>
              <w:t>________</w:t>
            </w:r>
          </w:p>
        </w:tc>
        <w:tc>
          <w:tcPr>
            <w:tcW w:type="dxa" w:w="2160"/>
          </w:tcPr>
          <w:p>
            <w:r>
              <w:t>________</w:t>
            </w:r>
          </w:p>
        </w:tc>
      </w:tr>
    </w:tbl>
    <w:p>
      <w:pPr>
        <w:pStyle w:val="Heading1"/>
      </w:pPr>
      <w:r>
        <w:t>10. Distribution</w:t>
      </w:r>
    </w:p>
    <w:p>
      <w:pPr/>
      <w:r>
        <w:t>This policy shall be available to all clinical staff, the Patient Rights Officer, department heads, and the Quality Coordinator.</w:t>
      </w:r>
    </w:p>
    <w:p>
      <w:pPr>
        <w:pStyle w:val="Heading1"/>
      </w:pPr>
      <w:r>
        <w:t>11. Abbreviations</w:t>
      </w:r>
    </w:p>
    <w:tbl>
      <w:tblPr>
        <w:tblStyle w:val="TableGrid"/>
        <w:tblW w:type="auto" w:w="0"/>
        <w:tblLook w:firstColumn="1" w:firstRow="1" w:lastColumn="0" w:lastRow="0" w:noHBand="0" w:noVBand="1" w:val="04A0"/>
      </w:tblPr>
      <w:tblGrid>
        <w:gridCol w:w="4320"/>
        <w:gridCol w:w="4320"/>
      </w:tblGrid>
      <w:tr>
        <w:tc>
          <w:tcPr>
            <w:tcW w:type="dxa" w:w="4320"/>
          </w:tcPr>
          <w:p>
            <w:r>
              <w:t>Abbreviation</w:t>
            </w:r>
          </w:p>
        </w:tc>
        <w:tc>
          <w:tcPr>
            <w:tcW w:type="dxa" w:w="4320"/>
          </w:tcPr>
          <w:p>
            <w:r>
              <w:t>Meaning</w:t>
            </w:r>
          </w:p>
        </w:tc>
      </w:tr>
      <w:tr>
        <w:tc>
          <w:tcPr>
            <w:tcW w:type="dxa" w:w="4320"/>
          </w:tcPr>
          <w:p>
            <w:r>
              <w:t>CAPA</w:t>
            </w:r>
          </w:p>
        </w:tc>
        <w:tc>
          <w:tcPr>
            <w:tcW w:type="dxa" w:w="4320"/>
          </w:tcPr>
          <w:p>
            <w:r>
              <w:t>Corrective and Preventive Action</w:t>
            </w:r>
          </w:p>
        </w:tc>
      </w:tr>
      <w:tr>
        <w:tc>
          <w:tcPr>
            <w:tcW w:type="dxa" w:w="4320"/>
          </w:tcPr>
          <w:p>
            <w:r>
              <w:t>NABH</w:t>
            </w:r>
          </w:p>
        </w:tc>
        <w:tc>
          <w:tcPr>
            <w:tcW w:type="dxa" w:w="4320"/>
          </w:tcPr>
          <w:p>
            <w:r>
              <w:t>National Accreditation Board for Hospitals and Healthcare Providers</w:t>
            </w:r>
          </w:p>
        </w:tc>
      </w:tr>
      <w:tr>
        <w:tc>
          <w:tcPr>
            <w:tcW w:type="dxa" w:w="4320"/>
          </w:tcPr>
          <w:p>
            <w:r>
              <w:t>OPD</w:t>
            </w:r>
          </w:p>
        </w:tc>
        <w:tc>
          <w:tcPr>
            <w:tcW w:type="dxa" w:w="4320"/>
          </w:tcPr>
          <w:p>
            <w:r>
              <w:t>Out-Patient Department</w:t>
            </w:r>
          </w:p>
        </w:tc>
      </w:tr>
    </w:tbl>
    <w:p>
      <w:pPr>
        <w:pStyle w:val="Heading1"/>
      </w:pPr>
      <w:r>
        <w:t>12. Traceability table</w:t>
      </w:r>
    </w:p>
    <w:p>
      <w:pPr/>
      <w:r>
        <w:t>This table is an index. It is not how the policy is organised. An asterisk in the Level column means the objective element is starred and requires documented evidence.</w:t>
      </w:r>
    </w:p>
    <w:tbl>
      <w:tblPr>
        <w:tblStyle w:val="TableGrid"/>
        <w:tblW w:type="auto" w:w="0"/>
        <w:tblLook w:firstColumn="1" w:firstRow="1" w:lastColumn="0" w:lastRow="0" w:noHBand="0" w:noVBand="1" w:val="04A0"/>
      </w:tblPr>
      <w:tblGrid>
        <w:gridCol w:w="2880"/>
        <w:gridCol w:w="2880"/>
        <w:gridCol w:w="2880"/>
      </w:tblGrid>
      <w:tr>
        <w:tc>
          <w:tcPr>
            <w:tcW w:type="dxa" w:w="2880"/>
          </w:tcPr>
          <w:p>
            <w:r>
              <w:t>Objective Element</w:t>
            </w:r>
          </w:p>
        </w:tc>
        <w:tc>
          <w:tcPr>
            <w:tcW w:type="dxa" w:w="2880"/>
          </w:tcPr>
          <w:p>
            <w:r>
              <w:t>Level</w:t>
            </w:r>
          </w:p>
        </w:tc>
        <w:tc>
          <w:tcPr>
            <w:tcW w:type="dxa" w:w="2880"/>
          </w:tcPr>
          <w:p>
            <w:r>
              <w:t>Traceability to this policy</w:t>
            </w:r>
          </w:p>
        </w:tc>
      </w:tr>
      <w:tr>
        <w:tc>
          <w:tcPr>
            <w:tcW w:type="dxa" w:w="2880"/>
          </w:tcPr>
          <w:p>
            <w:r>
              <w:t>PRE.3.a</w:t>
            </w:r>
          </w:p>
        </w:tc>
        <w:tc>
          <w:tcPr>
            <w:tcW w:type="dxa" w:w="2880"/>
          </w:tcPr>
          <w:p>
            <w:r>
              <w:t>CORE</w:t>
            </w:r>
          </w:p>
        </w:tc>
        <w:tc>
          <w:tcPr>
            <w:tcW w:type="dxa" w:w="2880"/>
          </w:tcPr>
          <w:p>
            <w:r>
              <w:t>Sections 3 and 5.1 address explanation of proposed care, risks, benefits, alternatives, expected results and complications.</w:t>
            </w:r>
          </w:p>
        </w:tc>
      </w:tr>
      <w:tr>
        <w:tc>
          <w:tcPr>
            <w:tcW w:type="dxa" w:w="2880"/>
          </w:tcPr>
          <w:p>
            <w:r>
              <w:t>PRE.3.b</w:t>
            </w:r>
          </w:p>
        </w:tc>
        <w:tc>
          <w:tcPr>
            <w:tcW w:type="dxa" w:w="2880"/>
          </w:tcPr>
          <w:p>
            <w:r>
              <w:t>Achievement</w:t>
            </w:r>
          </w:p>
        </w:tc>
        <w:tc>
          <w:tcPr>
            <w:tcW w:type="dxa" w:w="2880"/>
          </w:tcPr>
          <w:p>
            <w:r>
              <w:t>Sections 3 and 5.2 address patient/family involvement in care-plan preparation and modification.</w:t>
            </w:r>
          </w:p>
        </w:tc>
      </w:tr>
      <w:tr>
        <w:tc>
          <w:tcPr>
            <w:tcW w:type="dxa" w:w="2880"/>
          </w:tcPr>
          <w:p>
            <w:r>
              <w:t>PRE.3.c</w:t>
            </w:r>
          </w:p>
        </w:tc>
        <w:tc>
          <w:tcPr>
            <w:tcW w:type="dxa" w:w="2880"/>
          </w:tcPr>
          <w:p>
            <w:r>
              <w:t>Commitment</w:t>
            </w:r>
          </w:p>
        </w:tc>
        <w:tc>
          <w:tcPr>
            <w:tcW w:type="dxa" w:w="2880"/>
          </w:tcPr>
          <w:p>
            <w:r>
              <w:t>Sections 3 and 5.3 address explanation of diagnostic results and diagnosis.</w:t>
            </w:r>
          </w:p>
        </w:tc>
      </w:tr>
      <w:tr>
        <w:tc>
          <w:tcPr>
            <w:tcW w:type="dxa" w:w="2880"/>
          </w:tcPr>
          <w:p>
            <w:r>
              <w:t>PRE.3.d</w:t>
            </w:r>
          </w:p>
        </w:tc>
        <w:tc>
          <w:tcPr>
            <w:tcW w:type="dxa" w:w="2880"/>
          </w:tcPr>
          <w:p>
            <w:r>
              <w:t>Commitment</w:t>
            </w:r>
          </w:p>
        </w:tc>
        <w:tc>
          <w:tcPr>
            <w:tcW w:type="dxa" w:w="2880"/>
          </w:tcPr>
          <w:p>
            <w:r>
              <w:t>Sections 3 and 5.4 address timely explanation of condition changes.</w:t>
            </w:r>
          </w:p>
        </w:tc>
      </w:tr>
      <w:tr>
        <w:tc>
          <w:tcPr>
            <w:tcW w:type="dxa" w:w="2880"/>
          </w:tcPr>
          <w:p>
            <w:r>
              <w:t>PRE.3.e</w:t>
            </w:r>
          </w:p>
        </w:tc>
        <w:tc>
          <w:tcPr>
            <w:tcW w:type="dxa" w:w="2880"/>
          </w:tcPr>
          <w:p>
            <w:r>
              <w:t>Achievement</w:t>
            </w:r>
          </w:p>
        </w:tc>
        <w:tc>
          <w:tcPr>
            <w:tcW w:type="dxa" w:w="2880"/>
          </w:tcPr>
          <w:p>
            <w:r>
              <w:t>Sections 3 and 5.5 address multi-disciplinary counselling when appropriate.</w:t>
            </w:r>
          </w:p>
        </w:tc>
      </w:tr>
    </w:tbl>
    <w:p>
      <w:pPr>
        <w:pStyle w:val="Heading1"/>
      </w:pPr>
      <w:r>
        <w:t>13. Required Records/Evidence Checklist</w:t>
      </w:r>
    </w:p>
    <w:p>
      <w:pPr>
        <w:pStyle w:val="Heading2"/>
      </w:pPr>
      <w:r>
        <w:t>Explanation of proposed care — PRE.3.a (CORE)</w:t>
      </w:r>
    </w:p>
    <w:p>
      <w:pPr>
        <w:pStyle w:val="ListBullet"/>
      </w:pPr>
      <w:r>
        <w:t>Clinical notes or consultation records showing explanation of proposed care, risks, benefits and alternatives was given.</w:t>
      </w:r>
    </w:p>
    <w:p>
      <w:pPr>
        <w:pStyle w:val="Heading2"/>
      </w:pPr>
      <w:r>
        <w:t>Care-plan involvement — PRE.3.b (Achievement)</w:t>
      </w:r>
    </w:p>
    <w:p>
      <w:pPr>
        <w:pStyle w:val="ListBullet"/>
      </w:pPr>
      <w:r>
        <w:t>Medical record notes documenting care-plan consultation with the patient and/or family.</w:t>
      </w:r>
    </w:p>
    <w:p>
      <w:pPr>
        <w:pStyle w:val="Heading2"/>
      </w:pPr>
      <w:r>
        <w:t>Diagnostic result communication — PRE.3.c (Commitment)</w:t>
      </w:r>
    </w:p>
    <w:p>
      <w:pPr>
        <w:pStyle w:val="ListBullet"/>
      </w:pPr>
      <w:r>
        <w:t>Clinical notes showing diagnostic results and their implications were communicated.</w:t>
      </w:r>
    </w:p>
    <w:p>
      <w:pPr>
        <w:pStyle w:val="Heading2"/>
      </w:pPr>
      <w:r>
        <w:t>Condition-change communication — PRE.3.d (Commitment)</w:t>
      </w:r>
    </w:p>
    <w:p>
      <w:pPr>
        <w:pStyle w:val="ListBullet"/>
      </w:pPr>
      <w:r>
        <w:t>Clinical notes showing timely communication of condition changes, with dates.</w:t>
      </w:r>
    </w:p>
    <w:p>
      <w:pPr>
        <w:pStyle w:val="Heading2"/>
      </w:pPr>
      <w:r>
        <w:t>Multi-disciplinary counselling — PRE.3.e (Achievement)</w:t>
      </w:r>
    </w:p>
    <w:p>
      <w:pPr>
        <w:pStyle w:val="ListBullet"/>
      </w:pPr>
      <w:r>
        <w:t>Written list of situations requiring multi-disciplinary counselling.</w:t>
      </w:r>
    </w:p>
    <w:p>
      <w:pPr>
        <w:pStyle w:val="ListBullet"/>
      </w:pPr>
      <w:r>
        <w:t>Counselling records (attendees, date, what was discussed).</w:t>
      </w:r>
    </w:p>
    <w:p>
      <w:pPr>
        <w:pStyle w:val="Heading1"/>
      </w:pPr>
      <w:r>
        <w:t>14. References</w:t>
      </w:r>
    </w:p>
    <w:p>
      <w:pPr>
        <w:pStyle w:val="ListNumber"/>
      </w:pPr>
      <w:r>
        <w:t>National Accreditation Board for Hospitals and Healthcare Providers. NABH Accreditation Standards for Hospitals, 6th Edition. PRE.3.</w:t>
      </w:r>
    </w:p>
    <w:p>
      <w:pPr>
        <w:pStyle w:val="Heading1"/>
      </w:pPr>
      <w:r>
        <w:t>Disclaimer</w:t>
      </w:r>
    </w:p>
    <w:p>
      <w:pPr/>
      <w:r>
        <w:t>This document is a template prepared for the guidance of «Hospital Name» and must be reviewed, adapted and formally approved by «Hospital Name» before use. Every entry marked ________ must be completed before the document is issued.</w:t>
      </w:r>
    </w:p>
    <w:p>
      <w:pPr/>
      <w:r>
        <w:t>This policy is intended for accreditation and internal governance purposes and is not a statement of, or substitute for, compliance with any specific statute; «Hospital Name» remains separately responsible for meeting all applicable statutory and regulatory requirements.</w:t>
      </w:r>
    </w:p>
    <w:p>
      <w:pPr/>
      <w:r>
        <w:t>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r>
        <w:t>This document is not issued by, endorsed by, or affiliated with NABH or any other body named in it. Wording is original; no text has been reproduced from the standards, rules or guidelines referenced.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