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0"/>
        </w:rPr>
        <w:t>PSQ.1.c — Incident coverage — no harm to sentinel events (Commitment)</w:t>
      </w:r>
    </w:p>
    <w:p>
      <w:r>
        <w:rPr>
          <w:b/>
          <w:sz w:val="28"/>
        </w:rPr>
        <w:t>PSQ.1 Record 4 — No-Harm and Sentinel Event Definitions Record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Document No.</w:t>
            </w:r>
          </w:p>
        </w:tc>
        <w:tc>
          <w:tcPr>
            <w:tcW w:type="dxa" w:w="2160"/>
          </w:tcPr>
          <w:p>
            <w:r>
              <w:t>[Hospital to define]</w:t>
            </w:r>
          </w:p>
        </w:tc>
        <w:tc>
          <w:tcPr>
            <w:tcW w:type="dxa" w:w="2160"/>
          </w:tcPr>
          <w:p>
            <w:r>
              <w:t>Version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  <w:tr>
        <w:tc>
          <w:tcPr>
            <w:tcW w:type="dxa" w:w="2160"/>
          </w:tcPr>
          <w:p>
            <w:r>
              <w:t>Effective Date</w:t>
            </w:r>
          </w:p>
        </w:tc>
        <w:tc>
          <w:tcPr>
            <w:tcW w:type="dxa" w:w="2160"/>
          </w:tcPr>
          <w:p>
            <w:r>
              <w:t>________</w:t>
            </w:r>
          </w:p>
        </w:tc>
        <w:tc>
          <w:tcPr>
            <w:tcW w:type="dxa" w:w="2160"/>
          </w:tcPr>
          <w:p>
            <w:r>
              <w:t>Review Frequency</w:t>
            </w:r>
          </w:p>
        </w:tc>
        <w:tc>
          <w:tcPr>
            <w:tcW w:type="dxa" w:w="2160"/>
          </w:tcPr>
          <w:p>
            <w:r>
              <w:t>Per parent SOP/Policy</w:t>
            </w:r>
          </w:p>
        </w:tc>
      </w:tr>
    </w:tbl>
    <w:p>
      <w:r>
        <w:t>The hospital's own working definitions of "no harm" and "sentinel event", consistent with the NABH Glossary of Terms.</w:t>
      </w:r>
    </w:p>
    <w:p>
      <w:r>
        <w:rPr>
          <w:b/>
          <w:color w:val="7F6000"/>
        </w:rPr>
        <w:t>Yellow row = worked example.</w:t>
      </w:r>
      <w:r>
        <w:rPr>
          <w:b w:val="0"/>
          <w:color w:val="555555"/>
        </w:rPr>
        <w:t xml:space="preserve"> Delete or overwrite it before filing. Add rows as needed.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E2F3"/>
          </w:tcPr>
          <w:p>
            <w:r>
              <w:t>Term</w:t>
            </w:r>
          </w:p>
        </w:tc>
        <w:tc>
          <w:tcPr>
            <w:tcW w:type="dxa" w:w="2160"/>
            <w:shd w:val="clear" w:color="auto" w:fill="D9E2F3"/>
          </w:tcPr>
          <w:p>
            <w:r>
              <w:t>Hospital's Working Definition</w:t>
            </w:r>
          </w:p>
        </w:tc>
        <w:tc>
          <w:tcPr>
            <w:tcW w:type="dxa" w:w="2160"/>
            <w:shd w:val="clear" w:color="auto" w:fill="D9E2F3"/>
          </w:tcPr>
          <w:p>
            <w:r>
              <w:t>Approved By</w:t>
            </w:r>
          </w:p>
        </w:tc>
        <w:tc>
          <w:tcPr>
            <w:tcW w:type="dxa" w:w="2160"/>
            <w:shd w:val="clear" w:color="auto" w:fill="D9E2F3"/>
          </w:tcPr>
          <w:p>
            <w:r>
              <w:t>Date Approved</w:t>
            </w:r>
          </w:p>
        </w:tc>
      </w:tr>
      <w:tr>
        <w:tc>
          <w:tcPr>
            <w:tcW w:type="dxa" w:w="2160"/>
            <w:shd w:val="clear" w:color="auto" w:fill="FFF2CC"/>
          </w:tcPr>
          <w:p>
            <w:r>
              <w:t>Sentinel event</w:t>
            </w:r>
          </w:p>
        </w:tc>
        <w:tc>
          <w:tcPr>
            <w:tcW w:type="dxa" w:w="2160"/>
            <w:shd w:val="clear" w:color="auto" w:fill="FFF2CC"/>
          </w:tcPr>
          <w:p>
            <w:r>
              <w:t>[Hospital to define — must be consistent with NABH Glossary]</w:t>
            </w:r>
          </w:p>
        </w:tc>
        <w:tc>
          <w:tcPr>
            <w:tcW w:type="dxa" w:w="2160"/>
            <w:shd w:val="clear" w:color="auto" w:fill="FFF2CC"/>
          </w:tcPr>
          <w:p>
            <w:r>
              <w:t>Safety Committee</w:t>
            </w:r>
          </w:p>
        </w:tc>
        <w:tc>
          <w:tcPr>
            <w:tcW w:type="dxa" w:w="2160"/>
            <w:shd w:val="clear" w:color="auto" w:fill="FFF2CC"/>
          </w:tcPr>
          <w:p>
            <w:r>
              <w:t>05-Jan-2026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