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PSQ.1.e — Proactive analysis of patient safety risks (Commitment)</w:t>
      </w:r>
    </w:p>
    <w:p>
      <w:r>
        <w:rPr>
          <w:b/>
          <w:sz w:val="28"/>
        </w:rPr>
        <w:t>PSQ.1 Record 7 — Proactive Risk Analysis Record (HIRA/FMEA/HVA)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Documents at least one proactive risk analysis per year: the tool used, findings, and improvements made.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Risk/Process Analysed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Tool Used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Key Finding</w:t>
            </w:r>
          </w:p>
        </w:tc>
        <w:tc>
          <w:tcPr>
            <w:tcW w:type="dxa" w:w="2160"/>
            <w:shd w:val="clear" w:color="auto" w:fill="D9E2F3"/>
          </w:tcPr>
          <w:p>
            <w:r>
              <w:t>Improvement Made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IV pump programming errors</w:t>
            </w:r>
          </w:p>
        </w:tc>
        <w:tc>
          <w:tcPr>
            <w:tcW w:type="dxa" w:w="2160"/>
            <w:shd w:val="clear" w:color="auto" w:fill="FFF2CC"/>
          </w:tcPr>
          <w:p>
            <w:r>
              <w:t>FMEA</w:t>
            </w:r>
          </w:p>
        </w:tc>
        <w:tc>
          <w:tcPr>
            <w:tcW w:type="dxa" w:w="2160"/>
            <w:shd w:val="clear" w:color="auto" w:fill="FFF2CC"/>
          </w:tcPr>
          <w:p>
            <w:r>
              <w:t>Look-alike infusion sets identified as top failure mode</w:t>
            </w:r>
          </w:p>
        </w:tc>
        <w:tc>
          <w:tcPr>
            <w:tcW w:type="dxa" w:w="2160"/>
            <w:shd w:val="clear" w:color="auto" w:fill="FFF2CC"/>
          </w:tcPr>
          <w:p>
            <w:r>
              <w:t>Colour-coded sets introduced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