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PSQ.2.f — Periodic programme review (Commitment)</w:t>
      </w:r>
    </w:p>
    <w:p>
      <w:r>
        <w:rPr>
          <w:b/>
          <w:sz w:val="28"/>
        </w:rPr>
        <w:t>PSQ.2 Record 7 — QI Programme Quarterly Review Minutes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the QI committee's review at least once every three months, including audit findings and key-indicator analysis.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Review Date</w:t>
            </w:r>
          </w:p>
        </w:tc>
        <w:tc>
          <w:tcPr>
            <w:tcW w:type="dxa" w:w="2160"/>
            <w:shd w:val="clear" w:color="auto" w:fill="D9E2F3"/>
          </w:tcPr>
          <w:p>
            <w:r>
              <w:t>Findings of Audits</w:t>
            </w:r>
          </w:p>
        </w:tc>
        <w:tc>
          <w:tcPr>
            <w:tcW w:type="dxa" w:w="2160"/>
            <w:shd w:val="clear" w:color="auto" w:fill="D9E2F3"/>
          </w:tcPr>
          <w:p>
            <w:r>
              <w:t>Key Indicator Analysis</w:t>
            </w:r>
          </w:p>
        </w:tc>
        <w:tc>
          <w:tcPr>
            <w:tcW w:type="dxa" w:w="2160"/>
            <w:shd w:val="clear" w:color="auto" w:fill="D9E2F3"/>
          </w:tcPr>
          <w:p>
            <w:r>
              <w:t>Action Taken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31-Mar-2026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2 audits completed on schedule</w:t>
            </w:r>
          </w:p>
        </w:tc>
        <w:tc>
          <w:tcPr>
            <w:tcW w:type="dxa" w:w="2160"/>
            <w:shd w:val="clear" w:color="auto" w:fill="FFF2CC"/>
          </w:tcPr>
          <w:p>
            <w:r>
              <w:t>CAUTI rate within benchmark</w:t>
            </w:r>
          </w:p>
        </w:tc>
        <w:tc>
          <w:tcPr>
            <w:tcW w:type="dxa" w:w="2160"/>
            <w:shd w:val="clear" w:color="auto" w:fill="FFF2CC"/>
          </w:tcPr>
          <w:p>
            <w:r>
              <w:t>Continue current practice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