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PSQ.2.i — Nursing care quality monitoring (CORE*)</w:t>
      </w:r>
    </w:p>
    <w:p>
      <w:r>
        <w:rPr>
          <w:b/>
          <w:sz w:val="28"/>
        </w:rPr>
        <w:t>PSQ.2 Record 10 — Nursing Audit &amp; Competency Evaluation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Records nursing audits and competency evaluations for key nursing procedures.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Nurse/Ward</w:t>
            </w:r>
          </w:p>
        </w:tc>
        <w:tc>
          <w:tcPr>
            <w:tcW w:type="dxa" w:w="2160"/>
            <w:shd w:val="clear" w:color="auto" w:fill="D9E2F3"/>
          </w:tcPr>
          <w:p>
            <w:r>
              <w:t>Procedure Assessed</w:t>
            </w:r>
          </w:p>
        </w:tc>
        <w:tc>
          <w:tcPr>
            <w:tcW w:type="dxa" w:w="2160"/>
            <w:shd w:val="clear" w:color="auto" w:fill="D9E2F3"/>
          </w:tcPr>
          <w:p>
            <w:r>
              <w:t>Method (Questionnaire/Witnessed)</w:t>
            </w:r>
          </w:p>
        </w:tc>
        <w:tc>
          <w:tcPr>
            <w:tcW w:type="dxa" w:w="2160"/>
            <w:shd w:val="clear" w:color="auto" w:fill="D9E2F3"/>
          </w:tcPr>
          <w:p>
            <w:r>
              <w:t>Result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Nurse T. Fernandes, ICU</w:t>
            </w:r>
          </w:p>
        </w:tc>
        <w:tc>
          <w:tcPr>
            <w:tcW w:type="dxa" w:w="2160"/>
            <w:shd w:val="clear" w:color="auto" w:fill="FFF2CC"/>
          </w:tcPr>
          <w:p>
            <w:r>
              <w:t>Peripheral IV cannulation</w:t>
            </w:r>
          </w:p>
        </w:tc>
        <w:tc>
          <w:tcPr>
            <w:tcW w:type="dxa" w:w="2160"/>
            <w:shd w:val="clear" w:color="auto" w:fill="FFF2CC"/>
          </w:tcPr>
          <w:p>
            <w:r>
              <w:t>Witnessed demonstration</w:t>
            </w:r>
          </w:p>
        </w:tc>
        <w:tc>
          <w:tcPr>
            <w:tcW w:type="dxa" w:w="2160"/>
            <w:shd w:val="clear" w:color="auto" w:fill="FFF2CC"/>
          </w:tcPr>
          <w:p>
            <w:r>
              <w:t>Competent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