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PSQ.3.d — Patient safety indicators (CORE*)</w:t>
      </w:r>
    </w:p>
    <w:p>
      <w:r>
        <w:rPr>
          <w:b/>
          <w:sz w:val="28"/>
        </w:rPr>
        <w:t>PSQ.3 Record 4 — Patient Safety Indicator Data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Monthly data for patient-safety-goal and risk-management indicators.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Month</w:t>
            </w:r>
          </w:p>
        </w:tc>
        <w:tc>
          <w:tcPr>
            <w:tcW w:type="dxa" w:w="2160"/>
            <w:shd w:val="clear" w:color="auto" w:fill="D9E2F3"/>
          </w:tcPr>
          <w:p>
            <w: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Value</w:t>
            </w:r>
          </w:p>
        </w:tc>
        <w:tc>
          <w:tcPr>
            <w:tcW w:type="dxa" w:w="2160"/>
            <w:shd w:val="clear" w:color="auto" w:fill="D9E2F3"/>
          </w:tcPr>
          <w:p>
            <w:r>
              <w:t>Benchmark/Target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Fall rate per 1000 patient-days</w:t>
            </w:r>
          </w:p>
        </w:tc>
        <w:tc>
          <w:tcPr>
            <w:tcW w:type="dxa" w:w="2160"/>
            <w:shd w:val="clear" w:color="auto" w:fill="FFF2CC"/>
          </w:tcPr>
          <w:p>
            <w:r>
              <w:t>0.8</w:t>
            </w:r>
          </w:p>
        </w:tc>
        <w:tc>
          <w:tcPr>
            <w:tcW w:type="dxa" w:w="2160"/>
            <w:shd w:val="clear" w:color="auto" w:fill="FFF2CC"/>
          </w:tcPr>
          <w:p>
            <w:r>
              <w:t>&lt; 1.5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