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PSQ.3.f — Analysis and improvement opportunities (Commitment)</w:t>
      </w:r>
    </w:p>
    <w:p>
      <w:r>
        <w:rPr>
          <w:b/>
          <w:sz w:val="28"/>
        </w:rPr>
        <w:t>PSQ.3 Record 6 — Data Analysis &amp; Benchmark Comparison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analysis of trends against benchmarks and any resulting corrective/preventive action or QI project.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t>Trend Observed</w:t>
            </w:r>
          </w:p>
        </w:tc>
        <w:tc>
          <w:tcPr>
            <w:tcW w:type="dxa" w:w="2160"/>
            <w:shd w:val="clear" w:color="auto" w:fill="D9E2F3"/>
          </w:tcPr>
          <w:p>
            <w:r>
              <w:t>Benchmark Met (Y/N)</w:t>
            </w:r>
          </w:p>
        </w:tc>
        <w:tc>
          <w:tcPr>
            <w:tcW w:type="dxa" w:w="2160"/>
            <w:shd w:val="clear" w:color="auto" w:fill="D9E2F3"/>
          </w:tcPr>
          <w:p>
            <w:r>
              <w:t>Action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SSI rate</w:t>
            </w:r>
          </w:p>
        </w:tc>
        <w:tc>
          <w:tcPr>
            <w:tcW w:type="dxa" w:w="2160"/>
            <w:shd w:val="clear" w:color="auto" w:fill="FFF2CC"/>
          </w:tcPr>
          <w:p>
            <w:r>
              <w:t>Rising over 3 months</w:t>
            </w:r>
          </w:p>
        </w:tc>
        <w:tc>
          <w:tcPr>
            <w:tcW w:type="dxa" w:w="2160"/>
            <w:shd w:val="clear" w:color="auto" w:fill="FFF2CC"/>
          </w:tcPr>
          <w:p>
            <w:r>
              <w:t>N</w:t>
            </w:r>
          </w:p>
        </w:tc>
        <w:tc>
          <w:tcPr>
            <w:tcW w:type="dxa" w:w="2160"/>
            <w:shd w:val="clear" w:color="auto" w:fill="FFF2CC"/>
          </w:tcPr>
          <w:p>
            <w:r>
              <w:t>QI project initiated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