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PSQ.3.h — Communication of feedback to staff (Achievement)</w:t>
      </w:r>
    </w:p>
    <w:p>
      <w:r>
        <w:rPr>
          <w:b/>
          <w:sz w:val="28"/>
        </w:rPr>
        <w:t>PSQ.3 Record 8 — Staff Feedback Communication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feedback on rates, trends and improvement opportunities communicated to staff, including positive feedback.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Date</w:t>
            </w:r>
          </w:p>
        </w:tc>
        <w:tc>
          <w:tcPr>
            <w:tcW w:type="dxa" w:w="2160"/>
            <w:shd w:val="clear" w:color="auto" w:fill="D9E2F3"/>
          </w:tcPr>
          <w:p>
            <w:r>
              <w:t>Feedback Given</w:t>
            </w:r>
          </w:p>
        </w:tc>
        <w:tc>
          <w:tcPr>
            <w:tcW w:type="dxa" w:w="2160"/>
            <w:shd w:val="clear" w:color="auto" w:fill="D9E2F3"/>
          </w:tcPr>
          <w:p>
            <w:r>
              <w:t>Method (Bulletin/Meeting)</w:t>
            </w:r>
          </w:p>
        </w:tc>
        <w:tc>
          <w:tcPr>
            <w:tcW w:type="dxa" w:w="2160"/>
            <w:shd w:val="clear" w:color="auto" w:fill="D9E2F3"/>
          </w:tcPr>
          <w:p>
            <w:r>
              <w:t>Audience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31-Jan-2026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CAUTI rate trend + praise for compliance</w:t>
            </w:r>
          </w:p>
        </w:tc>
        <w:tc>
          <w:tcPr>
            <w:tcW w:type="dxa" w:w="2160"/>
            <w:shd w:val="clear" w:color="auto" w:fill="FFF2CC"/>
          </w:tcPr>
          <w:p>
            <w:r>
              <w:t>Ward bulletin</w:t>
            </w:r>
          </w:p>
        </w:tc>
        <w:tc>
          <w:tcPr>
            <w:tcW w:type="dxa" w:w="2160"/>
            <w:shd w:val="clear" w:color="auto" w:fill="FFF2CC"/>
          </w:tcPr>
          <w:p>
            <w:r>
              <w:t>Nursing staff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