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PSQ.5.a — Clinical audit as a QI tool (Commitment)</w:t>
      </w:r>
    </w:p>
    <w:p>
      <w:r>
        <w:rPr>
          <w:b/>
          <w:sz w:val="28"/>
        </w:rPr>
        <w:t>PSQ.5 Record 1 — Clinical Audit Schedule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Tracks one clinical audit per clinical department at least once every two years.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Department</w:t>
            </w:r>
          </w:p>
        </w:tc>
        <w:tc>
          <w:tcPr>
            <w:tcW w:type="dxa" w:w="2160"/>
            <w:shd w:val="clear" w:color="auto" w:fill="D9E2F3"/>
          </w:tcPr>
          <w:p>
            <w:r>
              <w:t>Audit Topic</w:t>
            </w:r>
          </w:p>
        </w:tc>
        <w:tc>
          <w:tcPr>
            <w:tcW w:type="dxa" w:w="2160"/>
            <w:shd w:val="clear" w:color="auto" w:fill="D9E2F3"/>
          </w:tcPr>
          <w:p>
            <w:r>
              <w:t>Scheduled Date</w:t>
            </w:r>
          </w:p>
        </w:tc>
        <w:tc>
          <w:tcPr>
            <w:tcW w:type="dxa" w:w="2160"/>
            <w:shd w:val="clear" w:color="auto" w:fill="D9E2F3"/>
          </w:tcPr>
          <w:p>
            <w:r>
              <w:t>Status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Orthopaedics</w:t>
            </w:r>
          </w:p>
        </w:tc>
        <w:tc>
          <w:tcPr>
            <w:tcW w:type="dxa" w:w="2160"/>
            <w:shd w:val="clear" w:color="auto" w:fill="FFF2CC"/>
          </w:tcPr>
          <w:p>
            <w:r>
              <w:t>Post-op infection rate</w:t>
            </w:r>
          </w:p>
        </w:tc>
        <w:tc>
          <w:tcPr>
            <w:tcW w:type="dxa" w:w="2160"/>
            <w:shd w:val="clear" w:color="auto" w:fill="FFF2CC"/>
          </w:tcPr>
          <w:p>
            <w:r>
              <w:t>Q2 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