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PSQ.5.b — Predefined audit parameters (Commitment)</w:t>
      </w:r>
    </w:p>
    <w:p>
      <w:r>
        <w:rPr>
          <w:b/>
          <w:sz w:val="28"/>
        </w:rPr>
        <w:t>PSQ.5 Record 2 — Audit Parameter &amp; Checklist Definition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 No.</w:t>
            </w:r>
          </w:p>
        </w:tc>
        <w:tc>
          <w:tcPr>
            <w:tcW w:type="dxa" w:w="2160"/>
          </w:tcPr>
          <w:p>
            <w:r>
              <w:t>[Hospital to define]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Effective Date</w:t>
            </w:r>
          </w:p>
        </w:tc>
        <w:tc>
          <w:tcPr>
            <w:tcW w:type="dxa" w:w="2160"/>
          </w:tcPr>
          <w:p>
            <w:r>
              <w:t>________</w:t>
            </w:r>
          </w:p>
        </w:tc>
        <w:tc>
          <w:tcPr>
            <w:tcW w:type="dxa" w:w="2160"/>
          </w:tcPr>
          <w:p>
            <w:r>
              <w:t>Review Frequency</w:t>
            </w:r>
          </w:p>
        </w:tc>
        <w:tc>
          <w:tcPr>
            <w:tcW w:type="dxa" w:w="2160"/>
          </w:tcPr>
          <w:p>
            <w:r>
              <w:t>Per parent SOP/Policy</w:t>
            </w:r>
          </w:p>
        </w:tc>
      </w:tr>
    </w:tbl>
    <w:p>
      <w:r>
        <w:t>Records the objectives, standard, checklist, sampling and data-collection guidelines for an audit before it starts.</w:t>
      </w:r>
    </w:p>
    <w:p>
      <w:r>
        <w:rPr>
          <w:b/>
          <w:color w:val="7F6000"/>
        </w:rPr>
        <w:t>Yellow row = worked example.</w:t>
      </w:r>
      <w:r>
        <w:rPr>
          <w:b w:val="0"/>
          <w:color w:val="555555"/>
        </w:rPr>
        <w:t xml:space="preserve"> Delete or overwrite it before filing. Add rows as needed.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t>Audit Topic</w:t>
            </w:r>
          </w:p>
        </w:tc>
        <w:tc>
          <w:tcPr>
            <w:tcW w:type="dxa" w:w="2160"/>
            <w:shd w:val="clear" w:color="auto" w:fill="D9E2F3"/>
          </w:tcPr>
          <w:p>
            <w:r>
              <w:t>Standard Used</w:t>
            </w:r>
          </w:p>
        </w:tc>
        <w:tc>
          <w:tcPr>
            <w:tcW w:type="dxa" w:w="2160"/>
            <w:shd w:val="clear" w:color="auto" w:fill="D9E2F3"/>
          </w:tcPr>
          <w:p>
            <w:r>
              <w:t>Checklist Attached (Y/N)</w:t>
            </w:r>
          </w:p>
        </w:tc>
        <w:tc>
          <w:tcPr>
            <w:tcW w:type="dxa" w:w="2160"/>
            <w:shd w:val="clear" w:color="auto" w:fill="D9E2F3"/>
          </w:tcPr>
          <w:p>
            <w:r>
              <w:t>Sampling Method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Post-op infection rate</w:t>
            </w:r>
          </w:p>
        </w:tc>
        <w:tc>
          <w:tcPr>
            <w:tcW w:type="dxa" w:w="2160"/>
            <w:shd w:val="clear" w:color="auto" w:fill="FFF2CC"/>
          </w:tcPr>
          <w:p>
            <w:r>
              <w:t>CDC SSI surveillance definition</w:t>
            </w:r>
          </w:p>
        </w:tc>
        <w:tc>
          <w:tcPr>
            <w:tcW w:type="dxa" w:w="2160"/>
            <w:shd w:val="clear" w:color="auto" w:fill="FFF2CC"/>
          </w:tcPr>
          <w:p>
            <w:r>
              <w:t>Y</w:t>
            </w:r>
          </w:p>
        </w:tc>
        <w:tc>
          <w:tcPr>
            <w:tcW w:type="dxa" w:w="2160"/>
            <w:shd w:val="clear" w:color="auto" w:fill="FFF2CC"/>
          </w:tcPr>
          <w:p>
            <w:r>
              <w:t>Stratified random, n=30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