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PSQ.5.e — Documented audits (Commitment)</w:t>
      </w:r>
    </w:p>
    <w:p>
      <w:r>
        <w:rPr>
          <w:b/>
          <w:sz w:val="28"/>
        </w:rPr>
        <w:t>PSQ.5 Record 5 — Clinical Audit Report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The audit report itself, highlighting key findings against the predefined parameters.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Audit Topic</w:t>
            </w:r>
          </w:p>
        </w:tc>
        <w:tc>
          <w:tcPr>
            <w:tcW w:type="dxa" w:w="2160"/>
            <w:shd w:val="clear" w:color="auto" w:fill="D9E2F3"/>
          </w:tcPr>
          <w:p>
            <w:r>
              <w:t>Key Finding</w:t>
            </w:r>
          </w:p>
        </w:tc>
        <w:tc>
          <w:tcPr>
            <w:tcW w:type="dxa" w:w="2160"/>
            <w:shd w:val="clear" w:color="auto" w:fill="D9E2F3"/>
          </w:tcPr>
          <w:p>
            <w:r>
              <w:t>Compliance Rate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Report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Post-op infection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2 of 30 cases had SSI</w:t>
            </w:r>
          </w:p>
        </w:tc>
        <w:tc>
          <w:tcPr>
            <w:tcW w:type="dxa" w:w="2160"/>
            <w:shd w:val="clear" w:color="auto" w:fill="FFF2CC"/>
          </w:tcPr>
          <w:p>
            <w:r>
              <w:t>93% compliant</w:t>
            </w:r>
          </w:p>
        </w:tc>
        <w:tc>
          <w:tcPr>
            <w:tcW w:type="dxa" w:w="2160"/>
            <w:shd w:val="clear" w:color="auto" w:fill="FFF2CC"/>
          </w:tcPr>
          <w:p>
            <w:r>
              <w:t>30-Jun-2026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