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PSQ.6.a — Culture of safety (Achievement)</w:t>
      </w:r>
    </w:p>
    <w:p>
      <w:r>
        <w:rPr>
          <w:b/>
          <w:sz w:val="28"/>
        </w:rPr>
        <w:t>PSQ.6 Record 1 — Patient Safety Culture Survey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results of the annual validated safety-culture survey (e.g. MaPSaF, SAQ, AHRQ SOPS) and management's response.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Survey Used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Conducted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Result</w:t>
            </w:r>
          </w:p>
        </w:tc>
        <w:tc>
          <w:tcPr>
            <w:tcW w:type="dxa" w:w="2160"/>
            <w:shd w:val="clear" w:color="auto" w:fill="D9E2F3"/>
          </w:tcPr>
          <w:p>
            <w:r>
              <w:t>Management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AHRQ SOPS</w:t>
            </w:r>
          </w:p>
        </w:tc>
        <w:tc>
          <w:tcPr>
            <w:tcW w:type="dxa" w:w="2160"/>
            <w:shd w:val="clear" w:color="auto" w:fill="FFF2CC"/>
          </w:tcPr>
          <w:p>
            <w:r>
              <w:t>Nov-2026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Teamwork score strong; reporting-fear score weak</w:t>
            </w:r>
          </w:p>
        </w:tc>
        <w:tc>
          <w:tcPr>
            <w:tcW w:type="dxa" w:w="2160"/>
            <w:shd w:val="clear" w:color="auto" w:fill="FFF2CC"/>
          </w:tcPr>
          <w:p>
            <w:r>
              <w:t>Blame-free reporting campaign launched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