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PSQ.6.c — Departmental leadership involvement (Commitment)</w:t>
      </w:r>
    </w:p>
    <w:p>
      <w:r>
        <w:rPr>
          <w:b/>
          <w:sz w:val="28"/>
        </w:rPr>
        <w:t>PSQ.6 Record 3 — Departmental KPI/Objective Ownership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each department's objectives/KPIs and the leader responsible for achieving them.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Objective/KPI</w:t>
            </w:r>
          </w:p>
        </w:tc>
        <w:tc>
          <w:tcPr>
            <w:tcW w:type="dxa" w:w="2160"/>
            <w:shd w:val="clear" w:color="auto" w:fill="D9E2F3"/>
          </w:tcPr>
          <w:p>
            <w:r>
              <w:t>Responsible Leader</w:t>
            </w:r>
          </w:p>
        </w:tc>
        <w:tc>
          <w:tcPr>
            <w:tcW w:type="dxa" w:w="2160"/>
            <w:shd w:val="clear" w:color="auto" w:fill="D9E2F3"/>
          </w:tcPr>
          <w:p>
            <w:r>
              <w:t>Review Frequency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ICU</w:t>
            </w:r>
          </w:p>
        </w:tc>
        <w:tc>
          <w:tcPr>
            <w:tcW w:type="dxa" w:w="2160"/>
            <w:shd w:val="clear" w:color="auto" w:fill="FFF2CC"/>
          </w:tcPr>
          <w:p>
            <w:r>
              <w:t>CLABSI rate target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N. Kapoor</w:t>
            </w:r>
          </w:p>
        </w:tc>
        <w:tc>
          <w:tcPr>
            <w:tcW w:type="dxa" w:w="2160"/>
            <w:shd w:val="clear" w:color="auto" w:fill="FFF2CC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