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PSQ.7.a — Incident management system (CORE*)</w:t>
      </w:r>
    </w:p>
    <w:p>
      <w:r>
        <w:rPr>
          <w:b/>
          <w:sz w:val="28"/>
        </w:rPr>
        <w:t>PSQ.7 Record 1 — Incident Report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Logs every incident reported, regardless of severity or whether harm was caused.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Area</w:t>
            </w:r>
          </w:p>
        </w:tc>
        <w:tc>
          <w:tcPr>
            <w:tcW w:type="dxa" w:w="2160"/>
            <w:shd w:val="clear" w:color="auto" w:fill="D9E2F3"/>
          </w:tcPr>
          <w:p>
            <w:r>
              <w:t>Incident 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t>Reported By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12-Feb-2026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Ward B</w:t>
            </w:r>
          </w:p>
        </w:tc>
        <w:tc>
          <w:tcPr>
            <w:tcW w:type="dxa" w:w="2160"/>
            <w:shd w:val="clear" w:color="auto" w:fill="FFF2CC"/>
          </w:tcPr>
          <w:p>
            <w:r>
              <w:t>Wrong-patient wristband issued, caught before administration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Staff Nurse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