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PSQ.7.c — Analysis of incidents (Commitment)</w:t>
      </w:r>
    </w:p>
    <w:p>
      <w:r>
        <w:rPr>
          <w:b/>
          <w:sz w:val="28"/>
        </w:rPr>
        <w:t>PSQ.7 Record 3 — Incident Analysis / Root-Cause Analysis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Documents root and contributory factors, risk-reduction strategy and action plan for an analysed incident.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Incident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Root Cause Identified</w:t>
            </w:r>
          </w:p>
        </w:tc>
        <w:tc>
          <w:tcPr>
            <w:tcW w:type="dxa" w:w="2160"/>
            <w:shd w:val="clear" w:color="auto" w:fill="D9E2F3"/>
          </w:tcPr>
          <w:p>
            <w:r>
              <w:t>Risk-Reduction Strategy</w:t>
            </w:r>
          </w:p>
        </w:tc>
        <w:tc>
          <w:tcPr>
            <w:tcW w:type="dxa" w:w="2160"/>
            <w:shd w:val="clear" w:color="auto" w:fill="D9E2F3"/>
          </w:tcPr>
          <w:p>
            <w:r>
              <w:t>Action Plan Owner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Wrong-patient wristband</w:t>
            </w:r>
          </w:p>
        </w:tc>
        <w:tc>
          <w:tcPr>
            <w:tcW w:type="dxa" w:w="2160"/>
            <w:shd w:val="clear" w:color="auto" w:fill="FFF2CC"/>
          </w:tcPr>
          <w:p>
            <w:r>
              <w:t>Two patients with similar names, no photo check</w:t>
            </w:r>
          </w:p>
        </w:tc>
        <w:tc>
          <w:tcPr>
            <w:tcW w:type="dxa" w:w="2160"/>
            <w:shd w:val="clear" w:color="auto" w:fill="FFF2CC"/>
          </w:tcPr>
          <w:p>
            <w:r>
              <w:t>Add photo ID to wristband process</w:t>
            </w:r>
          </w:p>
        </w:tc>
        <w:tc>
          <w:tcPr>
            <w:tcW w:type="dxa" w:w="2160"/>
            <w:shd w:val="clear" w:color="auto" w:fill="FFF2CC"/>
          </w:tcPr>
          <w:p>
            <w:r>
              <w:t>Nursing Head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