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PSQ.7.e — Incorporating risks into risk management (Achievement)</w:t>
      </w:r>
    </w:p>
    <w:p>
      <w:r>
        <w:rPr>
          <w:b/>
          <w:sz w:val="28"/>
        </w:rPr>
        <w:t>PSQ.7 Record 6 — Risk Register Update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Records any previously unidentified risk revealed by incident analysis and added to the risk management system.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Risk Identified</w:t>
            </w:r>
          </w:p>
        </w:tc>
        <w:tc>
          <w:tcPr>
            <w:tcW w:type="dxa" w:w="2160"/>
            <w:shd w:val="clear" w:color="auto" w:fill="D9E2F3"/>
          </w:tcPr>
          <w:p>
            <w:r>
              <w:t>Source Incident</w:t>
            </w:r>
          </w:p>
        </w:tc>
        <w:tc>
          <w:tcPr>
            <w:tcW w:type="dxa" w:w="2160"/>
            <w:shd w:val="clear" w:color="auto" w:fill="D9E2F3"/>
          </w:tcPr>
          <w:p>
            <w:r>
              <w:t>Added to Register (Y/N)</w:t>
            </w:r>
          </w:p>
        </w:tc>
        <w:tc>
          <w:tcPr>
            <w:tcW w:type="dxa" w:w="2160"/>
            <w:shd w:val="clear" w:color="auto" w:fill="D9E2F3"/>
          </w:tcPr>
          <w:p>
            <w:r>
              <w:t>Date Added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Similar-name patient confusion</w:t>
            </w:r>
          </w:p>
        </w:tc>
        <w:tc>
          <w:tcPr>
            <w:tcW w:type="dxa" w:w="2160"/>
            <w:shd w:val="clear" w:color="auto" w:fill="FFF2CC"/>
          </w:tcPr>
          <w:p>
            <w:r>
              <w:t>Wrong-patient wristband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  <w:tc>
          <w:tcPr>
            <w:tcW w:type="dxa" w:w="2160"/>
            <w:shd w:val="clear" w:color="auto" w:fill="FFF2CC"/>
          </w:tcPr>
          <w:p>
            <w:r>
              <w:t>20-Feb-2026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