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Emergency Services</w:t>
      </w:r>
    </w:p>
    <w:p>
      <w:pPr>
        <w:spacing w:after="240"/>
        <w:jc w:val="center"/>
      </w:pPr>
      <w:r>
        <w:rPr>
          <w:i/>
          <w:iCs/>
          <w:sz w:val="20"/>
          <w:szCs w:val="20"/>
        </w:rPr>
        <w:t xml:space="preserve">HCO Full Accreditation, 6th Edition — COP.2.</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«HCO/COP/POL/02»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«Emergency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Emergency services are provided in accordance with written guidance, applicable laws and regulations.</w:t>
      </w:r>
    </w:p>
    <w:p>
      <w:pPr>
        <w:pStyle w:val="Heading1"/>
        <w:spacing w:after="120" w:before="280"/>
      </w:pPr>
      <w:r>
        <w:t xml:space="preserve">1. Purpose</w:t>
      </w:r>
    </w:p>
    <w:p>
      <w:pPr>
        <w:spacing w:after="140"/>
      </w:pPr>
      <w:r>
        <w:rPr>
          <w:sz w:val="22"/>
          <w:szCs w:val="22"/>
        </w:rPr>
        <w:t xml:space="preserve">This policy says how «Hospital Name» meets NABH Hospitals 6th Edition standard COP.2: Emergency services are provided in accordance with written guidance, applicable laws and regulations.</w:t>
      </w:r>
    </w:p>
    <w:p>
      <w:pPr>
        <w:spacing w:after="140"/>
      </w:pPr>
      <w:r>
        <w:rPr>
          <w:sz w:val="22"/>
          <w:szCs w:val="22"/>
        </w:rPr>
        <w:t xml:space="preserve">This policy covers all 9 requirements under this standard, listed in detail below.</w:t>
      </w:r>
    </w:p>
    <w:p>
      <w:pPr>
        <w:spacing w:after="140"/>
      </w:pPr>
      <w:r>
        <w:rPr>
          <w:sz w:val="22"/>
          <w:szCs w:val="22"/>
        </w:rPr>
        <w:t xml:space="preserve">This policy covers emergency services specifically. Related duties — like patient assessment, patient rights, infection control, staffing, or medication management — are covered in the hospital's other policies, not repeated here.</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or oversee the care described in COP.2 at «Hospital Name», including the «Emergency In-Charge», treating doctors, nurses and the Quality Coordinator.</w:t>
      </w:r>
    </w:p>
    <w:p>
      <w:pPr>
        <w:spacing w:after="140"/>
      </w:pPr>
      <w:r>
        <w:rPr>
          <w:sz w:val="22"/>
          <w:szCs w:val="22"/>
        </w:rPr>
        <w:t xml:space="preserve">This policy covers all 9 requirements under this standard, listed in detail below.</w:t>
      </w:r>
    </w:p>
    <w:p>
      <w:pPr>
        <w:spacing w:after="140"/>
      </w:pPr>
      <w:r>
        <w:rPr>
          <w:sz w:val="22"/>
          <w:szCs w:val="22"/>
        </w:rPr>
        <w:t xml:space="preserve">This policy covers emergency services specifically. Related duties — like patient assessment, patient rights, infection control, staffing, or medication management — are covered in the hospital's other policies, not repeated here. Spell out abbreviations on first use in training materials.</w:t>
      </w:r>
    </w:p>
    <w:p>
      <w:pPr>
        <w:pStyle w:val="Heading1"/>
        <w:spacing w:after="120" w:before="280"/>
      </w:pPr>
      <w:r>
        <w:t xml:space="preserve">3. Policy standards</w:t>
      </w:r>
    </w:p>
    <w:p>
      <w:pPr>
        <w:spacing w:after="140"/>
      </w:pPr>
      <w:r>
        <w:rPr>
          <w:sz w:val="22"/>
          <w:szCs w:val="22"/>
        </w:rPr>
        <w:t xml:space="preserve">«Hospital Name» implements COP.2 so that emergency services are provided in accordance with written guidance, applicable laws and regulations..</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There shall be an identified area in the organisation which is easily accessible to receive and manage...</w:t>
      </w:r>
    </w:p>
    <w:p>
      <w:pPr>
        <w:spacing w:after="80"/>
      </w:pPr>
      <w:r>
        <w:rPr>
          <w:sz w:val="22"/>
          <w:szCs w:val="22"/>
        </w:rPr>
        <w:t xml:space="preserve">2. Do not skip: Prevention of patient over-crowding is planned and crowd management measures are implemented.</w:t>
      </w:r>
    </w:p>
    <w:p>
      <w:pPr>
        <w:spacing w:after="80"/>
      </w:pPr>
      <w:r>
        <w:rPr>
          <w:sz w:val="22"/>
          <w:szCs w:val="22"/>
        </w:rPr>
        <w:t xml:space="preserve">3. Do not skip: Emergency care is provided in consonance with statutory requirements including medico-legal cases and as per...</w:t>
      </w:r>
    </w:p>
    <w:p>
      <w:pPr>
        <w:spacing w:after="80"/>
      </w:pPr>
      <w:r>
        <w:rPr>
          <w:sz w:val="22"/>
          <w:szCs w:val="22"/>
        </w:rPr>
        <w:t xml:space="preserve">4. Do not skip: Initiation of appropriate care is guided by a system of triage.</w:t>
      </w:r>
    </w:p>
    <w:p>
      <w:pPr>
        <w:spacing w:after="80"/>
      </w:pPr>
      <w:r>
        <w:rPr>
          <w:sz w:val="22"/>
          <w:szCs w:val="22"/>
        </w:rPr>
        <w:t xml:space="preserve">5. Do not skip: Patients waiting in the emergency are re-assessed as appropriate for the change in status.</w:t>
      </w:r>
    </w:p>
    <w:p>
      <w:pPr>
        <w:spacing w:after="80"/>
      </w:pPr>
      <w:r>
        <w:rPr>
          <w:sz w:val="22"/>
          <w:szCs w:val="22"/>
        </w:rPr>
        <w:t xml:space="preserve">6. Do not skip: Admission, discharge to home or transfer to another organisation is documented.</w:t>
      </w:r>
    </w:p>
    <w:p>
      <w:pPr>
        <w:spacing w:after="80"/>
      </w:pPr>
      <w:r>
        <w:rPr>
          <w:sz w:val="22"/>
          <w:szCs w:val="22"/>
        </w:rPr>
        <w:t xml:space="preserve">7. Do not skip: In case of discharge to home or transfer to another organisation, a discharge / transfer note shall be given...</w:t>
      </w:r>
    </w:p>
    <w:p>
      <w:pPr>
        <w:spacing w:after="80"/>
      </w:pPr>
      <w:r>
        <w:rPr>
          <w:sz w:val="22"/>
          <w:szCs w:val="22"/>
        </w:rPr>
        <w:t xml:space="preserve">8. Do not skip: The organisation shall implement a quality assurance programme.</w:t>
      </w:r>
    </w:p>
    <w:p>
      <w:pPr>
        <w:spacing w:after="80"/>
      </w:pPr>
      <w:r>
        <w:rPr>
          <w:sz w:val="22"/>
          <w:szCs w:val="22"/>
        </w:rPr>
        <w:t xml:space="preserve">9. Do not skip: The organisation has systems in place for the management of patients found dead on arrival and patients who...</w:t>
      </w:r>
    </w:p>
    <w:p>
      <w:pPr>
        <w:spacing w:after="80"/>
      </w:pPr>
      <w:r>
        <w:rPr>
          <w:sz w:val="22"/>
          <w:szCs w:val="22"/>
        </w:rPr>
        <w:t xml:space="preserve">10. Do not bypass the stop-work authority in section 6 when the trigger conditions are met.</w:t>
      </w:r>
    </w:p>
    <w:p>
      <w:pPr>
        <w:spacing w:after="80"/>
      </w:pPr>
      <w:r>
        <w:rPr>
          <w:sz w:val="22"/>
          <w:szCs w:val="22"/>
        </w:rPr>
        <w:t xml:space="preserve">11. Staff who see a COP.2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There shall be an identified area in the organisation which is easily..</w:t>
      </w:r>
    </w:p>
    <w:p>
      <w:pPr>
        <w:spacing w:after="140"/>
      </w:pPr>
      <w:r>
        <w:rPr>
          <w:sz w:val="22"/>
          <w:szCs w:val="22"/>
        </w:rPr>
        <w:t xml:space="preserve">There shall be an identified area in the organisation which is easily accessible to receive and manage emergency patients, with adequate and appropriate resources.</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5.2 Prevention of patient over-crowding is planned and crowd management..</w:t>
      </w:r>
    </w:p>
    <w:p>
      <w:pPr>
        <w:spacing w:after="140"/>
      </w:pPr>
      <w:r>
        <w:rPr>
          <w:sz w:val="22"/>
          <w:szCs w:val="22"/>
        </w:rPr>
        <w:t xml:space="preserve">Prevention of patient over-crowding is planned and crowd management measures are implemented.</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5.3 Emergency care is provided in consonance with statutory requirements..</w:t>
      </w:r>
    </w:p>
    <w:p>
      <w:pPr>
        <w:spacing w:after="140"/>
      </w:pPr>
      <w:r>
        <w:rPr>
          <w:sz w:val="22"/>
          <w:szCs w:val="22"/>
        </w:rPr>
        <w:t xml:space="preserve">Emergency care is provided in consonance with statutory requirements including medico-legal cases and as per written guidance.</w:t>
      </w:r>
    </w:p>
    <w:p>
      <w:pPr>
        <w:spacing w:after="140"/>
      </w:pPr>
      <w:r>
        <w:rPr>
          <w:sz w:val="22"/>
          <w:szCs w:val="22"/>
        </w:rPr>
        <w:t xml:space="preserve">Method note: Follow the organisation's written guidance for this asterisked element; keep records that show the guidance was followed for the sampled cases.</w:t>
      </w:r>
    </w:p>
    <w:p>
      <w:pPr>
        <w:spacing w:after="140"/>
      </w:pPr>
      <w:r>
        <w:rPr>
          <w:sz w:val="22"/>
          <w:szCs w:val="22"/>
        </w:rPr>
        <w:t xml:space="preserve">This is a CORE objective element — non-compliance is not acceptable for accreditation.</w:t>
      </w:r>
    </w:p>
    <w:p>
      <w:pPr>
        <w:pStyle w:val="Heading2"/>
        <w:spacing w:after="100" w:before="220"/>
      </w:pPr>
      <w:r>
        <w:t xml:space="preserve">5.4 Initiation of appropriate care is guided by a system of triage</w:t>
      </w:r>
    </w:p>
    <w:p>
      <w:pPr>
        <w:spacing w:after="140"/>
      </w:pPr>
      <w:r>
        <w:rPr>
          <w:sz w:val="22"/>
          <w:szCs w:val="22"/>
        </w:rPr>
        <w:t xml:space="preserve">Initiation of appropriate care is guided by a system of triage.</w:t>
      </w:r>
    </w:p>
    <w:p>
      <w:pPr>
        <w:spacing w:after="140"/>
      </w:pPr>
      <w:r>
        <w:rPr>
          <w:sz w:val="22"/>
          <w:szCs w:val="22"/>
        </w:rPr>
        <w:t xml:space="preserve">Method note: Follow the organisation's written guidance for this asterisked element; keep records that show the guidance was followed for the sampled cases.</w:t>
      </w:r>
    </w:p>
    <w:p>
      <w:pPr>
        <w:pStyle w:val="Heading2"/>
        <w:spacing w:after="100" w:before="220"/>
      </w:pPr>
      <w:r>
        <w:t xml:space="preserve">5.5 Patients waiting in the emergency are re-assessed as appropriate for..</w:t>
      </w:r>
    </w:p>
    <w:p>
      <w:pPr>
        <w:spacing w:after="140"/>
      </w:pPr>
      <w:r>
        <w:rPr>
          <w:sz w:val="22"/>
          <w:szCs w:val="22"/>
        </w:rPr>
        <w:t xml:space="preserve">Patients waiting in the emergency are re-assessed as appropriate for the change in status.</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5.6 Admission, discharge to home or transfer to another organisation is..</w:t>
      </w:r>
    </w:p>
    <w:p>
      <w:pPr>
        <w:spacing w:after="140"/>
      </w:pPr>
      <w:r>
        <w:rPr>
          <w:sz w:val="22"/>
          <w:szCs w:val="22"/>
        </w:rPr>
        <w:t xml:space="preserve">Admission, discharge to home or transfer to another organisation is documented.</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5.7 In case of discharge to home or transfer to another organisation, a..</w:t>
      </w:r>
    </w:p>
    <w:p>
      <w:pPr>
        <w:spacing w:after="140"/>
      </w:pPr>
      <w:r>
        <w:rPr>
          <w:sz w:val="22"/>
          <w:szCs w:val="22"/>
        </w:rPr>
        <w:t xml:space="preserve">In case of discharge to home or transfer to another organisation, a discharge / transfer note shall be given to the patient.</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5.8 The organisation shall implement a quality assurance programme</w:t>
      </w:r>
    </w:p>
    <w:p>
      <w:pPr>
        <w:spacing w:after="140"/>
      </w:pPr>
      <w:r>
        <w:rPr>
          <w:sz w:val="22"/>
          <w:szCs w:val="22"/>
        </w:rPr>
        <w:t xml:space="preserve">The organisation shall implement a quality assurance programme.</w:t>
      </w:r>
    </w:p>
    <w:p>
      <w:pPr>
        <w:spacing w:after="140"/>
      </w:pPr>
      <w:r>
        <w:rPr>
          <w:sz w:val="22"/>
          <w:szCs w:val="22"/>
        </w:rPr>
        <w:t xml:space="preserve">Method note: Follow the organisation's written guidance for this asterisked element; keep records that show the guidance was followed for the sampled cases.</w:t>
      </w:r>
    </w:p>
    <w:p>
      <w:pPr>
        <w:pStyle w:val="Heading2"/>
        <w:spacing w:after="100" w:before="220"/>
      </w:pPr>
      <w:r>
        <w:t xml:space="preserve">5.9 The organisation has systems in place for the management of patients..</w:t>
      </w:r>
    </w:p>
    <w:p>
      <w:pPr>
        <w:spacing w:after="140"/>
      </w:pPr>
      <w:r>
        <w:rPr>
          <w:sz w:val="22"/>
          <w:szCs w:val="22"/>
        </w:rPr>
        <w:t xml:space="preserve">The organisation has systems in place for the management of patients found dead on arrival and patients who die within a few minutes of arrival.</w:t>
      </w:r>
    </w:p>
    <w:p>
      <w:pPr>
        <w:spacing w:after="140"/>
      </w:pPr>
      <w:r>
        <w:rPr>
          <w:sz w:val="22"/>
          <w:szCs w:val="22"/>
        </w:rPr>
        <w:t xml:space="preserve">Method note: Follow the organisation's written guidance for this asterisked element; keep records that show the guidance was followed for the sampled cases.</w:t>
      </w:r>
    </w:p>
    <w:p>
      <w:pPr>
        <w:pStyle w:val="Heading1"/>
        <w:spacing w:after="120" w:before="280"/>
      </w:pPr>
      <w:r>
        <w:t xml:space="preserve">6. Stop-work authority</w:t>
      </w:r>
    </w:p>
    <w:p>
      <w:pPr>
        <w:spacing w:after="140"/>
      </w:pPr>
      <w:r>
        <w:rPr>
          <w:sz w:val="22"/>
          <w:szCs w:val="22"/>
        </w:rPr>
        <w:t xml:space="preserve">Do not receive and treat an emergency patient in an area that is not the identified emergency area, or when triage-competent personnel and basic resuscitation equipment are not available.</w:t>
      </w:r>
    </w:p>
    <w:p>
      <w:pPr>
        <w:spacing w:after="140"/>
      </w:pPr>
      <w:r>
        <w:rPr>
          <w:sz w:val="22"/>
          <w:szCs w:val="22"/>
        </w:rPr>
        <w:t xml:space="preserve">Do not leave overcrowding unmanaged when it blocks triage, resuscitation or safe holding.</w:t>
      </w:r>
    </w:p>
    <w:p>
      <w:pPr>
        <w:spacing w:after="140"/>
      </w:pPr>
      <w:r>
        <w:rPr>
          <w:sz w:val="22"/>
          <w:szCs w:val="22"/>
        </w:rPr>
        <w:t xml:space="preserve">Stop-work applies to unsafe emergency intake, not to immediate life-saving measures already under way — those continue while escalation happens.</w:t>
      </w:r>
    </w:p>
    <w:p>
      <w:pPr>
        <w:spacing w:after="140"/>
      </w:pPr>
      <w:r>
        <w:rPr>
          <w:sz w:val="22"/>
          <w:szCs w:val="22"/>
        </w:rPr>
        <w:t xml:space="preserve">The person who stops tells the «Emergency In-Charge» and the «Medical Superintendent» the same shift. Refusing unsafe emergency intake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COP.2 is resourced and followed.</w:t>
      </w:r>
    </w:p>
    <w:p>
      <w:pPr>
        <w:spacing w:after="20" w:before="100"/>
      </w:pPr>
      <w:r>
        <w:rPr>
          <w:b/>
          <w:bCs/>
          <w:sz w:val="22"/>
          <w:szCs w:val="22"/>
        </w:rPr>
        <w:t xml:space="preserve">Emergency In-Charge</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Treating doctors / nurses / technicians (as applicable)</w:t>
      </w:r>
    </w:p>
    <w:p>
      <w:pPr>
        <w:pStyle w:val="ListParagraph"/>
        <w:numPr>
          <w:ilvl w:val="0"/>
          <w:numId w:val="1"/>
        </w:numPr>
        <w:spacing w:after="60"/>
      </w:pPr>
      <w:r>
        <w:rPr>
          <w:sz w:val="22"/>
          <w:szCs w:val="22"/>
        </w:rPr>
        <w:t xml:space="preserve">Deliver care as written; escalate stop-work triggers without delay.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adverse event.</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Emergency Services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Care of Patients, standard COP.2.</w:t>
      </w:r>
    </w:p>
    <w:p>
      <w:pPr>
        <w:pStyle w:val="ListParagraph"/>
        <w:numPr>
          <w:ilvl w:val="0"/>
          <w:numId w:val="1"/>
        </w:numPr>
        <w:spacing w:after="60"/>
      </w:pPr>
      <w:r>
        <w:rPr>
          <w:sz w:val="22"/>
          <w:szCs w:val="22"/>
        </w:rPr>
        <w:t xml:space="preserve">NABH Guidebook to Accreditation Standards for Hospitals, 6th Edition — COP.2 interpretations (source PDF md5 2c4489ee98de4ae9b49cba168ea9f42a).</w:t>
      </w:r>
    </w:p>
    <w:p>
      <w:pPr>
        <w:pStyle w:val="ListParagraph"/>
        <w:numPr>
          <w:ilvl w:val="0"/>
          <w:numId w:val="1"/>
        </w:numPr>
        <w:spacing w:after="60"/>
      </w:pPr>
      <w:r>
        <w:rPr>
          <w:sz w:val="22"/>
          <w:szCs w:val="22"/>
        </w:rPr>
        <w:t xml:space="preserve">Internal documents of «Hospital Name»: written guidance and registers named for COP.2.</w:t>
      </w:r>
    </w:p>
    <w:p>
      <w:pPr>
        <w:pStyle w:val="Heading1"/>
        <w:spacing w:after="120" w:before="280"/>
      </w:pPr>
      <w:r>
        <w:t xml:space="preserve">11. Distribution</w:t>
      </w:r>
    </w:p>
    <w:p>
      <w:pPr>
        <w:spacing w:after="140"/>
      </w:pPr>
      <w:r>
        <w:rPr>
          <w:sz w:val="22"/>
          <w:szCs w:val="22"/>
        </w:rPr>
        <w:t xml:space="preserve">Medical Superintendent; Emergency In-Charge; Quality Coordinator; department clinical staff covered by COP.2</w:t>
      </w:r>
    </w:p>
    <w:p>
      <w:pPr>
        <w:pStyle w:val="Heading1"/>
        <w:spacing w:after="120" w:before="280"/>
      </w:pPr>
      <w:r>
        <w:t xml:space="preserve">12. Abbreviations</w:t>
      </w:r>
    </w:p>
    <w:p>
      <w:pPr>
        <w:spacing w:after="140"/>
      </w:pPr>
      <w:r>
        <w:rPr>
          <w:sz w:val="22"/>
          <w:szCs w:val="22"/>
        </w:rPr>
        <w:t xml:space="preserve">COP — Care of Patients (NABH Hospitals chapter)
NABH — National Accreditation Board for Hospitals and Healthcare Providers
OE — Objective Element
CORE — Core objective element (NABH)
RCA — Root Cause Analysis
CAPA — Corrective and Preventive Action</w:t>
      </w:r>
    </w:p>
    <w:p>
      <w:pPr>
        <w:pStyle w:val="Heading1"/>
        <w:spacing w:after="120" w:before="280"/>
      </w:pPr>
      <w:r>
        <w:t xml:space="preserve">13. Traceability to NABH HCO Full Accreditation 6th Edition COP.2</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shall be an identified area in the organisation which is easily accessible to receive and manage emergency patients, with adequate and appropriate resources.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Emergency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Prevention of patient over-crowding is planned and crowd management measures are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Emergency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Emergency care is provided in consonance with statutory requirements including medico-legal cases and as per written guidance.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Emergency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Initiation of appropriate care is guided by a system of triage.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Emergency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waiting in the emergency are re-assessed as appropriate for the change in status.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Emergency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Admission, discharge to home or transfer to another organisation is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Emergency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 case of discharge to home or transfer to another organisation, a discharge / transfer note shall be given to the patient.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Emergency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shall implement a quality assurance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Emergency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COP.2.i</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systems in place for the management of patients found dead on arrival and patients who die within a few minutes of arrival.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Emergency In-Charge</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COP.2.a — There shall be an identified area in the organisation which is easily accessible to receive and manage emergency patients, with adequate and appropriate resources.</w:t>
      </w:r>
    </w:p>
    <w:p>
      <w:pPr>
        <w:pStyle w:val="ListParagraph"/>
        <w:numPr>
          <w:ilvl w:val="0"/>
          <w:numId w:val="1"/>
        </w:numPr>
        <w:spacing w:after="60"/>
      </w:pPr>
      <w:r>
        <w:rPr>
          <w:sz w:val="22"/>
          <w:szCs w:val="22"/>
        </w:rPr>
        <w:t xml:space="preserve">Emergency-area location and resource-inventory record.</w:t>
      </w:r>
    </w:p>
    <w:p>
      <w:pPr>
        <w:pStyle w:val="ListParagraph"/>
        <w:numPr>
          <w:ilvl w:val="0"/>
          <w:numId w:val="1"/>
        </w:numPr>
        <w:spacing w:after="60"/>
      </w:pPr>
      <w:r>
        <w:rPr>
          <w:sz w:val="22"/>
          <w:szCs w:val="22"/>
        </w:rPr>
        <w:t xml:space="preserve">Accessibility-confirmation record.</w:t>
      </w:r>
    </w:p>
    <w:p>
      <w:pPr>
        <w:pStyle w:val="ListParagraph"/>
        <w:numPr>
          <w:ilvl w:val="0"/>
          <w:numId w:val="1"/>
        </w:numPr>
        <w:spacing w:after="60"/>
      </w:pPr>
      <w:r>
        <w:rPr>
          <w:sz w:val="22"/>
          <w:szCs w:val="22"/>
        </w:rPr>
        <w:t xml:space="preserve">Resource-adequacy check against service scope.</w:t>
      </w:r>
    </w:p>
    <w:p>
      <w:pPr>
        <w:pStyle w:val="Heading2"/>
        <w:spacing w:after="100" w:before="220"/>
      </w:pPr>
      <w:r>
        <w:t xml:space="preserve">COP.2.b — Prevention of patient over-crowding is planned and crowd management measures are implemented.</w:t>
      </w:r>
    </w:p>
    <w:p>
      <w:pPr>
        <w:pStyle w:val="ListParagraph"/>
        <w:numPr>
          <w:ilvl w:val="0"/>
          <w:numId w:val="1"/>
        </w:numPr>
        <w:spacing w:after="60"/>
      </w:pPr>
      <w:r>
        <w:rPr>
          <w:sz w:val="22"/>
          <w:szCs w:val="22"/>
        </w:rPr>
        <w:t xml:space="preserve">Written overcrowding-management plan.</w:t>
      </w:r>
    </w:p>
    <w:p>
      <w:pPr>
        <w:pStyle w:val="ListParagraph"/>
        <w:numPr>
          <w:ilvl w:val="0"/>
          <w:numId w:val="1"/>
        </w:numPr>
        <w:spacing w:after="60"/>
      </w:pPr>
      <w:r>
        <w:rPr>
          <w:sz w:val="22"/>
          <w:szCs w:val="22"/>
        </w:rPr>
        <w:t xml:space="preserve">Crowd-management measure implementation record.</w:t>
      </w:r>
    </w:p>
    <w:p>
      <w:pPr>
        <w:pStyle w:val="ListParagraph"/>
        <w:numPr>
          <w:ilvl w:val="0"/>
          <w:numId w:val="1"/>
        </w:numPr>
        <w:spacing w:after="60"/>
      </w:pPr>
      <w:r>
        <w:rPr>
          <w:sz w:val="22"/>
          <w:szCs w:val="22"/>
        </w:rPr>
        <w:t xml:space="preserve">Overcrowding-incident log and response record.</w:t>
      </w:r>
    </w:p>
    <w:p>
      <w:pPr>
        <w:pStyle w:val="Heading2"/>
        <w:spacing w:after="100" w:before="220"/>
      </w:pPr>
      <w:r>
        <w:t xml:space="preserve">COP.2.c — Emergency care is provided in consonance with statutory requirements including medico-legal cases and as per written guidance.</w:t>
      </w:r>
    </w:p>
    <w:p>
      <w:pPr>
        <w:pStyle w:val="ListParagraph"/>
        <w:numPr>
          <w:ilvl w:val="0"/>
          <w:numId w:val="1"/>
        </w:numPr>
        <w:spacing w:after="60"/>
      </w:pPr>
      <w:r>
        <w:rPr>
          <w:sz w:val="22"/>
          <w:szCs w:val="22"/>
        </w:rPr>
        <w:t xml:space="preserve">Written emergency-care guidance covering medico-legal case handling.</w:t>
      </w:r>
    </w:p>
    <w:p>
      <w:pPr>
        <w:pStyle w:val="ListParagraph"/>
        <w:numPr>
          <w:ilvl w:val="0"/>
          <w:numId w:val="1"/>
        </w:numPr>
        <w:spacing w:after="60"/>
      </w:pPr>
      <w:r>
        <w:rPr>
          <w:sz w:val="22"/>
          <w:szCs w:val="22"/>
        </w:rPr>
        <w:t xml:space="preserve">Medico-legal case register with statutory-notification record.</w:t>
      </w:r>
    </w:p>
    <w:p>
      <w:pPr>
        <w:pStyle w:val="ListParagraph"/>
        <w:numPr>
          <w:ilvl w:val="0"/>
          <w:numId w:val="1"/>
        </w:numPr>
        <w:spacing w:after="60"/>
      </w:pPr>
      <w:r>
        <w:rPr>
          <w:sz w:val="22"/>
          <w:szCs w:val="22"/>
        </w:rPr>
        <w:t xml:space="preserve">Staff training record on the medico-legal case procedure.</w:t>
      </w:r>
    </w:p>
    <w:p>
      <w:pPr>
        <w:pStyle w:val="Heading2"/>
        <w:spacing w:after="100" w:before="220"/>
      </w:pPr>
      <w:r>
        <w:t xml:space="preserve">COP.2.d — Initiation of appropriate care is guided by a system of triage.</w:t>
      </w:r>
    </w:p>
    <w:p>
      <w:pPr>
        <w:pStyle w:val="ListParagraph"/>
        <w:numPr>
          <w:ilvl w:val="0"/>
          <w:numId w:val="1"/>
        </w:numPr>
        <w:spacing w:after="60"/>
      </w:pPr>
      <w:r>
        <w:rPr>
          <w:sz w:val="22"/>
          <w:szCs w:val="22"/>
        </w:rPr>
        <w:t xml:space="preserve">Written triage protocol or system document.</w:t>
      </w:r>
    </w:p>
    <w:p>
      <w:pPr>
        <w:pStyle w:val="ListParagraph"/>
        <w:numPr>
          <w:ilvl w:val="0"/>
          <w:numId w:val="1"/>
        </w:numPr>
        <w:spacing w:after="60"/>
      </w:pPr>
      <w:r>
        <w:rPr>
          <w:sz w:val="22"/>
          <w:szCs w:val="22"/>
        </w:rPr>
        <w:t xml:space="preserve">Triage-category assignment record for a sampled patient.</w:t>
      </w:r>
    </w:p>
    <w:p>
      <w:pPr>
        <w:pStyle w:val="ListParagraph"/>
        <w:numPr>
          <w:ilvl w:val="0"/>
          <w:numId w:val="1"/>
        </w:numPr>
        <w:spacing w:after="60"/>
      </w:pPr>
      <w:r>
        <w:rPr>
          <w:sz w:val="22"/>
          <w:szCs w:val="22"/>
        </w:rPr>
        <w:t xml:space="preserve">Triage-training record for emergency staff.</w:t>
      </w:r>
    </w:p>
    <w:p>
      <w:pPr>
        <w:pStyle w:val="Heading2"/>
        <w:spacing w:after="100" w:before="220"/>
      </w:pPr>
      <w:r>
        <w:t xml:space="preserve">COP.2.e — Patients waiting in the emergency are re-assessed as appropriate for the change in status.</w:t>
      </w:r>
    </w:p>
    <w:p>
      <w:pPr>
        <w:pStyle w:val="ListParagraph"/>
        <w:numPr>
          <w:ilvl w:val="0"/>
          <w:numId w:val="1"/>
        </w:numPr>
        <w:spacing w:after="60"/>
      </w:pPr>
      <w:r>
        <w:rPr>
          <w:sz w:val="22"/>
          <w:szCs w:val="22"/>
        </w:rPr>
        <w:t xml:space="preserve">Re-assessment record for a waiting emergency patient.</w:t>
      </w:r>
    </w:p>
    <w:p>
      <w:pPr>
        <w:pStyle w:val="ListParagraph"/>
        <w:numPr>
          <w:ilvl w:val="0"/>
          <w:numId w:val="1"/>
        </w:numPr>
        <w:spacing w:after="60"/>
      </w:pPr>
      <w:r>
        <w:rPr>
          <w:sz w:val="22"/>
          <w:szCs w:val="22"/>
        </w:rPr>
        <w:t xml:space="preserve">Documented trigger or frequency for re-assessment.</w:t>
      </w:r>
    </w:p>
    <w:p>
      <w:pPr>
        <w:pStyle w:val="ListParagraph"/>
        <w:numPr>
          <w:ilvl w:val="0"/>
          <w:numId w:val="1"/>
        </w:numPr>
        <w:spacing w:after="60"/>
      </w:pPr>
      <w:r>
        <w:rPr>
          <w:sz w:val="22"/>
          <w:szCs w:val="22"/>
        </w:rPr>
        <w:t xml:space="preserve">Status-change escalation record.</w:t>
      </w:r>
    </w:p>
    <w:p>
      <w:pPr>
        <w:pStyle w:val="Heading2"/>
        <w:spacing w:after="100" w:before="220"/>
      </w:pPr>
      <w:r>
        <w:t xml:space="preserve">COP.2.f — Admission, discharge to home or transfer to another organisation is documented.</w:t>
      </w:r>
    </w:p>
    <w:p>
      <w:pPr>
        <w:pStyle w:val="ListParagraph"/>
        <w:numPr>
          <w:ilvl w:val="0"/>
          <w:numId w:val="1"/>
        </w:numPr>
        <w:spacing w:after="60"/>
      </w:pPr>
      <w:r>
        <w:rPr>
          <w:sz w:val="22"/>
          <w:szCs w:val="22"/>
        </w:rPr>
        <w:t xml:space="preserve">Documented admission, discharge-to-home or transfer record.</w:t>
      </w:r>
    </w:p>
    <w:p>
      <w:pPr>
        <w:pStyle w:val="ListParagraph"/>
        <w:numPr>
          <w:ilvl w:val="0"/>
          <w:numId w:val="1"/>
        </w:numPr>
        <w:spacing w:after="60"/>
      </w:pPr>
      <w:r>
        <w:rPr>
          <w:sz w:val="22"/>
          <w:szCs w:val="22"/>
        </w:rPr>
        <w:t xml:space="preserve">Disposition-decision documentation.</w:t>
      </w:r>
    </w:p>
    <w:p>
      <w:pPr>
        <w:pStyle w:val="ListParagraph"/>
        <w:numPr>
          <w:ilvl w:val="0"/>
          <w:numId w:val="1"/>
        </w:numPr>
        <w:spacing w:after="60"/>
      </w:pPr>
      <w:r>
        <w:rPr>
          <w:sz w:val="22"/>
          <w:szCs w:val="22"/>
        </w:rPr>
        <w:t xml:space="preserve">Record-completeness check.</w:t>
      </w:r>
    </w:p>
    <w:p>
      <w:pPr>
        <w:pStyle w:val="Heading2"/>
        <w:spacing w:after="100" w:before="220"/>
      </w:pPr>
      <w:r>
        <w:t xml:space="preserve">COP.2.g — In case of discharge to home or transfer to another organisation, a discharge / transfer note shall be given to the patient.</w:t>
      </w:r>
    </w:p>
    <w:p>
      <w:pPr>
        <w:pStyle w:val="ListParagraph"/>
        <w:numPr>
          <w:ilvl w:val="0"/>
          <w:numId w:val="1"/>
        </w:numPr>
        <w:spacing w:after="60"/>
      </w:pPr>
      <w:r>
        <w:rPr>
          <w:sz w:val="22"/>
          <w:szCs w:val="22"/>
        </w:rPr>
        <w:t xml:space="preserve">Discharge or transfer note issued to the patient, on file.</w:t>
      </w:r>
    </w:p>
    <w:p>
      <w:pPr>
        <w:pStyle w:val="ListParagraph"/>
        <w:numPr>
          <w:ilvl w:val="0"/>
          <w:numId w:val="1"/>
        </w:numPr>
        <w:spacing w:after="60"/>
      </w:pPr>
      <w:r>
        <w:rPr>
          <w:sz w:val="22"/>
          <w:szCs w:val="22"/>
        </w:rPr>
        <w:t xml:space="preserve">Content-completeness record — diagnosis, treatment given, follow-up.</w:t>
      </w:r>
    </w:p>
    <w:p>
      <w:pPr>
        <w:pStyle w:val="ListParagraph"/>
        <w:numPr>
          <w:ilvl w:val="0"/>
          <w:numId w:val="1"/>
        </w:numPr>
        <w:spacing w:after="60"/>
      </w:pPr>
      <w:r>
        <w:rPr>
          <w:sz w:val="22"/>
          <w:szCs w:val="22"/>
        </w:rPr>
        <w:t xml:space="preserve">Receiving-organisation transfer-note record, where applicable.</w:t>
      </w:r>
    </w:p>
    <w:p>
      <w:pPr>
        <w:pStyle w:val="Heading2"/>
        <w:spacing w:after="100" w:before="220"/>
      </w:pPr>
      <w:r>
        <w:t xml:space="preserve">COP.2.h — The organisation shall implement a quality assurance programme.</w:t>
      </w:r>
    </w:p>
    <w:p>
      <w:pPr>
        <w:pStyle w:val="ListParagraph"/>
        <w:numPr>
          <w:ilvl w:val="0"/>
          <w:numId w:val="1"/>
        </w:numPr>
        <w:spacing w:after="60"/>
      </w:pPr>
      <w:r>
        <w:rPr>
          <w:sz w:val="22"/>
          <w:szCs w:val="22"/>
        </w:rPr>
        <w:t xml:space="preserve">Written emergency-department quality assurance programme.</w:t>
      </w:r>
    </w:p>
    <w:p>
      <w:pPr>
        <w:pStyle w:val="ListParagraph"/>
        <w:numPr>
          <w:ilvl w:val="0"/>
          <w:numId w:val="1"/>
        </w:numPr>
        <w:spacing w:after="60"/>
      </w:pPr>
      <w:r>
        <w:rPr>
          <w:sz w:val="22"/>
          <w:szCs w:val="22"/>
        </w:rPr>
        <w:t xml:space="preserve">Indicator-monitoring record for the programme.</w:t>
      </w:r>
    </w:p>
    <w:p>
      <w:pPr>
        <w:pStyle w:val="ListParagraph"/>
        <w:numPr>
          <w:ilvl w:val="0"/>
          <w:numId w:val="1"/>
        </w:numPr>
        <w:spacing w:after="60"/>
      </w:pPr>
      <w:r>
        <w:rPr>
          <w:sz w:val="22"/>
          <w:szCs w:val="22"/>
        </w:rPr>
        <w:t xml:space="preserve">Improvement-action record from QA findings.</w:t>
      </w:r>
    </w:p>
    <w:p>
      <w:pPr>
        <w:pStyle w:val="Heading2"/>
        <w:spacing w:after="100" w:before="220"/>
      </w:pPr>
      <w:r>
        <w:t xml:space="preserve">COP.2.i — The organisation has systems in place for the management of patients found dead on arrival and patients who die within a few minutes of arrival.</w:t>
      </w:r>
    </w:p>
    <w:p>
      <w:pPr>
        <w:pStyle w:val="ListParagraph"/>
        <w:numPr>
          <w:ilvl w:val="0"/>
          <w:numId w:val="1"/>
        </w:numPr>
        <w:spacing w:after="60"/>
      </w:pPr>
      <w:r>
        <w:rPr>
          <w:sz w:val="22"/>
          <w:szCs w:val="22"/>
        </w:rPr>
        <w:t xml:space="preserve">Written system for managing patients found dead on arrival or who die within minutes of arrival.</w:t>
      </w:r>
    </w:p>
    <w:p>
      <w:pPr>
        <w:pStyle w:val="ListParagraph"/>
        <w:numPr>
          <w:ilvl w:val="0"/>
          <w:numId w:val="1"/>
        </w:numPr>
        <w:spacing w:after="60"/>
      </w:pPr>
      <w:r>
        <w:rPr>
          <w:sz w:val="22"/>
          <w:szCs w:val="22"/>
        </w:rPr>
        <w:t xml:space="preserve">Documentation record for a sampled such case.</w:t>
      </w:r>
    </w:p>
    <w:p>
      <w:pPr>
        <w:pStyle w:val="ListParagraph"/>
        <w:numPr>
          <w:ilvl w:val="0"/>
          <w:numId w:val="1"/>
        </w:numPr>
        <w:spacing w:after="60"/>
      </w:pPr>
      <w:r>
        <w:rPr>
          <w:sz w:val="22"/>
          <w:szCs w:val="22"/>
        </w:rPr>
        <w:t xml:space="preserve">Family-communication and statutory-notification record.</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applicable laws and regulations governing emergency services as named in NABH COP.2.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«HCO/COP/POL/02»  |  Controlled document  |  Emergency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2026-08-21T14:58:02.450Z</dcterms:created>
  <dcterms:modified xsi:type="dcterms:W3CDTF">2026-08-21T14:58:02.452Z</dcterms:modified>
</cp:coreProperties>
</file>

<file path=docProps/custom.xml><?xml version="1.0" encoding="utf-8"?>
<Properties xmlns="http://schemas.openxmlformats.org/officeDocument/2006/custom-properties" xmlns:vt="http://schemas.openxmlformats.org/officeDocument/2006/docPropsVTypes"/>
</file>