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Anaesthesia Services</w:t>
      </w:r>
    </w:p>
    <w:p>
      <w:pPr>
        <w:spacing w:after="240"/>
        <w:jc w:val="center"/>
      </w:pPr>
      <w:r>
        <w:rPr>
          <w:i/>
          <w:iCs/>
          <w:sz w:val="20"/>
          <w:szCs w:val="20"/>
        </w:rPr>
        <w:t xml:space="preserve">HCO Full Accreditation, 6th Edition — COP.13.</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«Anaesthesia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Anaesthesia services are provided in a consistent and safe manner.</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COP.13: Anaesthesia services are provided in a consistent and safe manner.</w:t>
      </w:r>
    </w:p>
    <w:p>
      <w:pPr>
        <w:spacing w:after="140"/>
      </w:pPr>
      <w:r>
        <w:rPr>
          <w:sz w:val="22"/>
          <w:szCs w:val="22"/>
        </w:rPr>
        <w:t xml:space="preserve">This policy covers all 10 requirements under this standard, listed in detail below.</w:t>
      </w:r>
    </w:p>
    <w:p>
      <w:pPr>
        <w:spacing w:after="140"/>
      </w:pPr>
      <w:r>
        <w:rPr>
          <w:sz w:val="22"/>
          <w:szCs w:val="22"/>
        </w:rPr>
        <w:t xml:space="preserve">This policy covers anaesthesia services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COP.13 at Preview Hospital, including the «Anaesthesia In-Charge», treating doctors, nurses and the Quality Coordinator.</w:t>
      </w:r>
    </w:p>
    <w:p>
      <w:pPr>
        <w:spacing w:after="140"/>
      </w:pPr>
      <w:r>
        <w:rPr>
          <w:sz w:val="22"/>
          <w:szCs w:val="22"/>
        </w:rPr>
        <w:t xml:space="preserve">This policy covers all 10 requirements under this standard, listed in detail below.</w:t>
      </w:r>
    </w:p>
    <w:p>
      <w:pPr>
        <w:spacing w:after="140"/>
      </w:pPr>
      <w:r>
        <w:rPr>
          <w:sz w:val="22"/>
          <w:szCs w:val="22"/>
        </w:rPr>
        <w:t xml:space="preserve">This policy covers anaesthesia services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COP.13 so that anaesthesia services are provided in a consistent and safe manner..</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Anaesthesia services are provided in a consistent manner.</w:t>
      </w:r>
    </w:p>
    <w:p>
      <w:pPr>
        <w:spacing w:after="80"/>
      </w:pPr>
      <w:r>
        <w:rPr>
          <w:sz w:val="22"/>
          <w:szCs w:val="22"/>
        </w:rPr>
        <w:t xml:space="preserve">2. Do not skip: The pre-anaesthesia assessment results in the formulation of an anaesthesia plan which is documented.</w:t>
      </w:r>
    </w:p>
    <w:p>
      <w:pPr>
        <w:spacing w:after="80"/>
      </w:pPr>
      <w:r>
        <w:rPr>
          <w:sz w:val="22"/>
          <w:szCs w:val="22"/>
        </w:rPr>
        <w:t xml:space="preserve">3. Do not skip: A pre-induction assessment is performed and documented.</w:t>
      </w:r>
    </w:p>
    <w:p>
      <w:pPr>
        <w:spacing w:after="80"/>
      </w:pPr>
      <w:r>
        <w:rPr>
          <w:sz w:val="22"/>
          <w:szCs w:val="22"/>
        </w:rPr>
        <w:t xml:space="preserve">4. Do not skip: The anaesthesiologist obtains informed consent for administration of anaesthesia.</w:t>
      </w:r>
    </w:p>
    <w:p>
      <w:pPr>
        <w:spacing w:after="80"/>
      </w:pPr>
      <w:r>
        <w:rPr>
          <w:sz w:val="22"/>
          <w:szCs w:val="22"/>
        </w:rPr>
        <w:t xml:space="preserve">5. Do not skip: During anaesthesia, monitoring includes a regular recording of temperature, heart rate, cardiac rhythm...</w:t>
      </w:r>
    </w:p>
    <w:p>
      <w:pPr>
        <w:spacing w:after="80"/>
      </w:pPr>
      <w:r>
        <w:rPr>
          <w:sz w:val="22"/>
          <w:szCs w:val="22"/>
        </w:rPr>
        <w:t xml:space="preserve">6. Do not skip: Patient’s post-anaesthesia status is monitored and documented.</w:t>
      </w:r>
    </w:p>
    <w:p>
      <w:pPr>
        <w:spacing w:after="80"/>
      </w:pPr>
      <w:r>
        <w:rPr>
          <w:sz w:val="22"/>
          <w:szCs w:val="22"/>
        </w:rPr>
        <w:t xml:space="preserve">7. Do not skip: The anaesthesiologist applies defined criteria to transfer the patient from the recovery area.</w:t>
      </w:r>
    </w:p>
    <w:p>
      <w:pPr>
        <w:spacing w:after="80"/>
      </w:pPr>
      <w:r>
        <w:rPr>
          <w:sz w:val="22"/>
          <w:szCs w:val="22"/>
        </w:rPr>
        <w:t xml:space="preserve">8. Do not skip: The type of anaesthesia and anaesthetic medications used are documented in the patient record.</w:t>
      </w:r>
    </w:p>
    <w:p>
      <w:pPr>
        <w:spacing w:after="80"/>
      </w:pPr>
      <w:r>
        <w:rPr>
          <w:sz w:val="22"/>
          <w:szCs w:val="22"/>
        </w:rPr>
        <w:t xml:space="preserve">9. Do not skip: Procedures shall comply with infection prevention and control guidelines to prevent cross-infection between...</w:t>
      </w:r>
    </w:p>
    <w:p>
      <w:pPr>
        <w:spacing w:after="80"/>
      </w:pPr>
      <w:r>
        <w:rPr>
          <w:sz w:val="22"/>
          <w:szCs w:val="22"/>
        </w:rPr>
        <w:t xml:space="preserve">10. Do not skip: Intra-operative adverse anaesthesia events are recorded and monitored.</w:t>
      </w:r>
    </w:p>
    <w:p>
      <w:pPr>
        <w:spacing w:after="80"/>
      </w:pPr>
      <w:r>
        <w:rPr>
          <w:sz w:val="22"/>
          <w:szCs w:val="22"/>
        </w:rPr>
        <w:t xml:space="preserve">11. Do not bypass the stop-work authority in section 6 when the trigger conditions are met.</w:t>
      </w:r>
    </w:p>
    <w:p>
      <w:pPr>
        <w:spacing w:after="80"/>
      </w:pPr>
      <w:r>
        <w:rPr>
          <w:sz w:val="22"/>
          <w:szCs w:val="22"/>
        </w:rPr>
        <w:t xml:space="preserve">12. Staff who see a COP.13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Anaesthesia services are provided in a consistent manner</w:t>
      </w:r>
    </w:p>
    <w:p>
      <w:pPr>
        <w:spacing w:after="140"/>
      </w:pPr>
      <w:r>
        <w:rPr>
          <w:sz w:val="22"/>
          <w:szCs w:val="22"/>
        </w:rPr>
        <w:t xml:space="preserve">Anaesthesia services are provided in a consistent manner.</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The pre-anaesthesia assessment results in the formulation of an..</w:t>
      </w:r>
    </w:p>
    <w:p>
      <w:pPr>
        <w:spacing w:after="140"/>
      </w:pPr>
      <w:r>
        <w:rPr>
          <w:sz w:val="22"/>
          <w:szCs w:val="22"/>
        </w:rPr>
        <w:t xml:space="preserve">The pre-anaesthesia assessment results in the formulation of an anaesthesia plan which is documented.</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5.3 A pre-induction assessment is performed and documented</w:t>
      </w:r>
    </w:p>
    <w:p>
      <w:pPr>
        <w:spacing w:after="140"/>
      </w:pPr>
      <w:r>
        <w:rPr>
          <w:sz w:val="22"/>
          <w:szCs w:val="22"/>
        </w:rPr>
        <w:t xml:space="preserve">A pre-induction assessment is performed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The anaesthesiologist obtains informed consent for administration of..</w:t>
      </w:r>
    </w:p>
    <w:p>
      <w:pPr>
        <w:spacing w:after="140"/>
      </w:pPr>
      <w:r>
        <w:rPr>
          <w:sz w:val="22"/>
          <w:szCs w:val="22"/>
        </w:rPr>
        <w:t xml:space="preserve">The anaesthesiologist obtains informed consent for administration of anaesthesia.</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During anaesthesia, monitoring includes a regular recording of..</w:t>
      </w:r>
    </w:p>
    <w:p>
      <w:pPr>
        <w:spacing w:after="140"/>
      </w:pPr>
      <w:r>
        <w:rPr>
          <w:sz w:val="22"/>
          <w:szCs w:val="22"/>
        </w:rPr>
        <w:t xml:space="preserve">During anaesthesia, monitoring includes a regular recording of temperature, heart rate, cardiac rhythm, respiratory rate, blood pressure, oxygen saturation and end-tidal carbon dioxide.</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5.6 Patient’s post-anaesthesia status is monitored and documented</w:t>
      </w:r>
    </w:p>
    <w:p>
      <w:pPr>
        <w:spacing w:after="140"/>
      </w:pPr>
      <w:r>
        <w:rPr>
          <w:sz w:val="22"/>
          <w:szCs w:val="22"/>
        </w:rPr>
        <w:t xml:space="preserve">Patient’s post-anaesthesia status is monitored and documented.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The anaesthesiologist applies defined criteria to transfer the patient..</w:t>
      </w:r>
    </w:p>
    <w:p>
      <w:pPr>
        <w:spacing w:after="140"/>
      </w:pPr>
      <w:r>
        <w:rPr>
          <w:sz w:val="22"/>
          <w:szCs w:val="22"/>
        </w:rPr>
        <w:t xml:space="preserve">The anaesthesiologist applies defined criteria to transfer the patient from the recovery area.</w:t>
      </w:r>
    </w:p>
    <w:p>
      <w:pPr>
        <w:spacing w:after="140"/>
      </w:pPr>
      <w:r>
        <w:rPr>
          <w:sz w:val="22"/>
          <w:szCs w:val="22"/>
        </w:rPr>
        <w:t xml:space="preserve">Method note (from guidebook interpretation): The organisation documents these criteria which shall be based</w:t>
      </w:r>
    </w:p>
    <w:p>
      <w:pPr>
        <w:pStyle w:val="Heading2"/>
        <w:spacing w:after="100" w:before="220"/>
      </w:pPr>
      <w:r>
        <w:t xml:space="preserve">5.8 The type of anaesthesia and anaesthetic medications used are documented..</w:t>
      </w:r>
    </w:p>
    <w:p>
      <w:pPr>
        <w:spacing w:after="140"/>
      </w:pPr>
      <w:r>
        <w:rPr>
          <w:sz w:val="22"/>
          <w:szCs w:val="22"/>
        </w:rPr>
        <w:t xml:space="preserve">The type of anaesthesia and anaesthetic medications used are documented in the patient record.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Procedures shall comply with infection prevention and control..</w:t>
      </w:r>
    </w:p>
    <w:p>
      <w:pPr>
        <w:spacing w:after="140"/>
      </w:pPr>
      <w:r>
        <w:rPr>
          <w:sz w:val="22"/>
          <w:szCs w:val="22"/>
        </w:rPr>
        <w:t xml:space="preserve">Procedures shall comply with infection prevention and control guidelines to prevent cross-infection between patients.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5.10 Intra-operative adverse anaesthesia events are recorded and monitored</w:t>
      </w:r>
    </w:p>
    <w:p>
      <w:pPr>
        <w:spacing w:after="140"/>
      </w:pPr>
      <w:r>
        <w:rPr>
          <w:sz w:val="22"/>
          <w:szCs w:val="22"/>
        </w:rPr>
        <w:t xml:space="preserve">Intra-operative adverse anaesthesia events are recorded and monitored.</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Stop-work authority</w:t>
      </w:r>
    </w:p>
    <w:p>
      <w:pPr>
        <w:spacing w:after="140"/>
      </w:pPr>
      <w:r>
        <w:rPr>
          <w:sz w:val="22"/>
          <w:szCs w:val="22"/>
        </w:rPr>
        <w:t xml:space="preserve">Do not induce anaesthesia when the pre-anaesthesia assessment and anaesthesia plan are not documented, when pre-induction assessment is not documented, or when required intra-operative monitoring (including ETCO2 where applicable) cannot be provided.</w:t>
      </w:r>
    </w:p>
    <w:p>
      <w:pPr>
        <w:spacing w:after="140"/>
      </w:pPr>
      <w:r>
        <w:rPr>
          <w:sz w:val="22"/>
          <w:szCs w:val="22"/>
        </w:rPr>
        <w:t xml:space="preserve">Stop-work applies to induction. Immediate life-saving operative care follows emergency anaesthesia rules documented by the organisation.</w:t>
      </w:r>
    </w:p>
    <w:p>
      <w:pPr>
        <w:spacing w:after="140"/>
      </w:pPr>
      <w:r>
        <w:rPr>
          <w:sz w:val="22"/>
          <w:szCs w:val="22"/>
        </w:rPr>
        <w:t xml:space="preserve">The person who stops tells the «Anaesthesiologist / OT In-Charge» the same shift. Refusing unsafe induction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COP.13 is resourced and followed.</w:t>
      </w:r>
    </w:p>
    <w:p>
      <w:pPr>
        <w:spacing w:after="20" w:before="100"/>
      </w:pPr>
      <w:r>
        <w:rPr>
          <w:b/>
          <w:bCs/>
          <w:sz w:val="22"/>
          <w:szCs w:val="22"/>
        </w:rPr>
        <w:t xml:space="preserve">Anaesthesia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Anaesthesia Services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COP.13.</w:t>
      </w:r>
    </w:p>
    <w:p>
      <w:pPr>
        <w:pStyle w:val="ListParagraph"/>
        <w:numPr>
          <w:ilvl w:val="0"/>
          <w:numId w:val="1"/>
        </w:numPr>
        <w:spacing w:after="60"/>
      </w:pPr>
      <w:r>
        <w:rPr>
          <w:sz w:val="22"/>
          <w:szCs w:val="22"/>
        </w:rPr>
        <w:t xml:space="preserve">NABH Guidebook to Accreditation Standards for Hospitals, 6th Edition — COP.13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COP.13.</w:t>
      </w:r>
    </w:p>
    <w:p>
      <w:pPr>
        <w:pStyle w:val="Heading1"/>
        <w:spacing w:after="120" w:before="280"/>
      </w:pPr>
      <w:r>
        <w:t xml:space="preserve">11. Distribution</w:t>
      </w:r>
    </w:p>
    <w:p>
      <w:pPr>
        <w:spacing w:after="140"/>
      </w:pPr>
      <w:r>
        <w:rPr>
          <w:sz w:val="22"/>
          <w:szCs w:val="22"/>
        </w:rPr>
        <w:t xml:space="preserve">Medical Superintendent; Anaesthesia In-Charge; Quality Coordinator; department clinical staff covered by COP.13</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Anaesthesia services are provided in a consistent manner.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pre-anaesthesia assessment results in the formulation of an anaesthesia plan which is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pre-induction assessment is performed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anaesthesiologist obtains informed consent for administration of anaesthesia.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anaesthesia, monitoring includes a regular recording of temperature, heart rate, cardiac rhythm, respiratory rate, blood pressure, oxygen saturation and end-tidal carbon dioxide.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post-anaesthesia status is monitored and documented.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anaesthesiologist applies defined criteria to transfer the patient from the recovery area.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type of anaesthesia and anaesthetic medications used are documented in the patient record.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Procedures shall comply with infection prevention and control guidelines to prevent cross-infection between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COP.13.j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Intra-operative adverse anaesthesia events are recorded and monitored.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Anaesthesia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COP.13.a — Anaesthesia services are provided in a consistent manner.</w:t>
      </w:r>
    </w:p>
    <w:p>
      <w:pPr>
        <w:pStyle w:val="ListParagraph"/>
        <w:numPr>
          <w:ilvl w:val="0"/>
          <w:numId w:val="1"/>
        </w:numPr>
        <w:spacing w:after="60"/>
      </w:pPr>
      <w:r>
        <w:rPr>
          <w:sz w:val="22"/>
          <w:szCs w:val="22"/>
        </w:rPr>
        <w:t xml:space="preserve">Written anaesthesia-service protocol.</w:t>
      </w:r>
    </w:p>
    <w:p>
      <w:pPr>
        <w:pStyle w:val="ListParagraph"/>
        <w:numPr>
          <w:ilvl w:val="0"/>
          <w:numId w:val="1"/>
        </w:numPr>
        <w:spacing w:after="60"/>
      </w:pPr>
      <w:r>
        <w:rPr>
          <w:sz w:val="22"/>
          <w:szCs w:val="22"/>
        </w:rPr>
        <w:t xml:space="preserve">Consistency-check record.</w:t>
      </w:r>
    </w:p>
    <w:p>
      <w:pPr>
        <w:pStyle w:val="ListParagraph"/>
        <w:numPr>
          <w:ilvl w:val="0"/>
          <w:numId w:val="1"/>
        </w:numPr>
        <w:spacing w:after="60"/>
      </w:pPr>
      <w:r>
        <w:rPr>
          <w:sz w:val="22"/>
          <w:szCs w:val="22"/>
        </w:rPr>
        <w:t xml:space="preserve">Staff-credentialing record.</w:t>
      </w:r>
    </w:p>
    <w:p>
      <w:pPr>
        <w:pStyle w:val="Heading2"/>
        <w:spacing w:after="100" w:before="220"/>
      </w:pPr>
      <w:r>
        <w:t xml:space="preserve">COP.13.b — The pre-anaesthesia assessment results in the formulation of an anaesthesia plan which is documented.</w:t>
      </w:r>
    </w:p>
    <w:p>
      <w:pPr>
        <w:pStyle w:val="ListParagraph"/>
        <w:numPr>
          <w:ilvl w:val="0"/>
          <w:numId w:val="1"/>
        </w:numPr>
        <w:spacing w:after="60"/>
      </w:pPr>
      <w:r>
        <w:rPr>
          <w:sz w:val="22"/>
          <w:szCs w:val="22"/>
        </w:rPr>
        <w:t xml:space="preserve">Documented pre-anaesthesia assessment and anaesthesia plan.</w:t>
      </w:r>
    </w:p>
    <w:p>
      <w:pPr>
        <w:pStyle w:val="ListParagraph"/>
        <w:numPr>
          <w:ilvl w:val="0"/>
          <w:numId w:val="1"/>
        </w:numPr>
        <w:spacing w:after="60"/>
      </w:pPr>
      <w:r>
        <w:rPr>
          <w:sz w:val="22"/>
          <w:szCs w:val="22"/>
        </w:rPr>
        <w:t xml:space="preserve">Plan-completeness check.</w:t>
      </w:r>
    </w:p>
    <w:p>
      <w:pPr>
        <w:pStyle w:val="ListParagraph"/>
        <w:numPr>
          <w:ilvl w:val="0"/>
          <w:numId w:val="1"/>
        </w:numPr>
        <w:spacing w:after="60"/>
      </w:pPr>
      <w:r>
        <w:rPr>
          <w:sz w:val="22"/>
          <w:szCs w:val="22"/>
        </w:rPr>
        <w:t xml:space="preserve">Assessment-timing record before the procedure.</w:t>
      </w:r>
    </w:p>
    <w:p>
      <w:pPr>
        <w:pStyle w:val="Heading2"/>
        <w:spacing w:after="100" w:before="220"/>
      </w:pPr>
      <w:r>
        <w:t xml:space="preserve">COP.13.c — A pre-induction assessment is performed and documented.</w:t>
      </w:r>
    </w:p>
    <w:p>
      <w:pPr>
        <w:pStyle w:val="ListParagraph"/>
        <w:numPr>
          <w:ilvl w:val="0"/>
          <w:numId w:val="1"/>
        </w:numPr>
        <w:spacing w:after="60"/>
      </w:pPr>
      <w:r>
        <w:rPr>
          <w:sz w:val="22"/>
          <w:szCs w:val="22"/>
        </w:rPr>
        <w:t xml:space="preserve">Documented pre-induction assessment.</w:t>
      </w:r>
    </w:p>
    <w:p>
      <w:pPr>
        <w:pStyle w:val="ListParagraph"/>
        <w:numPr>
          <w:ilvl w:val="0"/>
          <w:numId w:val="1"/>
        </w:numPr>
        <w:spacing w:after="60"/>
      </w:pPr>
      <w:r>
        <w:rPr>
          <w:sz w:val="22"/>
          <w:szCs w:val="22"/>
        </w:rPr>
        <w:t xml:space="preserve">Assessment-timing record immediately before induction.</w:t>
      </w:r>
    </w:p>
    <w:p>
      <w:pPr>
        <w:pStyle w:val="ListParagraph"/>
        <w:numPr>
          <w:ilvl w:val="0"/>
          <w:numId w:val="1"/>
        </w:numPr>
        <w:spacing w:after="60"/>
      </w:pPr>
      <w:r>
        <w:rPr>
          <w:sz w:val="22"/>
          <w:szCs w:val="22"/>
        </w:rPr>
        <w:t xml:space="preserve">Completeness check.</w:t>
      </w:r>
    </w:p>
    <w:p>
      <w:pPr>
        <w:pStyle w:val="Heading2"/>
        <w:spacing w:after="100" w:before="220"/>
      </w:pPr>
      <w:r>
        <w:t xml:space="preserve">COP.13.d — The anaesthesiologist obtains informed consent for administration of anaesthesia.</w:t>
      </w:r>
    </w:p>
    <w:p>
      <w:pPr>
        <w:pStyle w:val="ListParagraph"/>
        <w:numPr>
          <w:ilvl w:val="0"/>
          <w:numId w:val="1"/>
        </w:numPr>
        <w:spacing w:after="60"/>
      </w:pPr>
      <w:r>
        <w:rPr>
          <w:sz w:val="22"/>
          <w:szCs w:val="22"/>
        </w:rPr>
        <w:t xml:space="preserve">Anaesthesia consent form signed by the anaesthesiologist.</w:t>
      </w:r>
    </w:p>
    <w:p>
      <w:pPr>
        <w:pStyle w:val="ListParagraph"/>
        <w:numPr>
          <w:ilvl w:val="0"/>
          <w:numId w:val="1"/>
        </w:numPr>
        <w:spacing w:after="60"/>
      </w:pPr>
      <w:r>
        <w:rPr>
          <w:sz w:val="22"/>
          <w:szCs w:val="22"/>
        </w:rPr>
        <w:t xml:space="preserve">Consent-process documentation.</w:t>
      </w:r>
    </w:p>
    <w:p>
      <w:pPr>
        <w:pStyle w:val="ListParagraph"/>
        <w:numPr>
          <w:ilvl w:val="0"/>
          <w:numId w:val="1"/>
        </w:numPr>
        <w:spacing w:after="60"/>
      </w:pPr>
      <w:r>
        <w:rPr>
          <w:sz w:val="22"/>
          <w:szCs w:val="22"/>
        </w:rPr>
        <w:t xml:space="preserve">Cross-reference to PRE.4.</w:t>
      </w:r>
    </w:p>
    <w:p>
      <w:pPr>
        <w:pStyle w:val="Heading2"/>
        <w:spacing w:after="100" w:before="220"/>
      </w:pPr>
      <w:r>
        <w:t xml:space="preserve">COP.13.e — During anaesthesia, monitoring includes a regular recording of temperature, heart rate, cardiac rhythm, respiratory rate, blood pressure, oxygen saturation and end-tidal carbon dioxide.</w:t>
      </w:r>
    </w:p>
    <w:p>
      <w:pPr>
        <w:pStyle w:val="ListParagraph"/>
        <w:numPr>
          <w:ilvl w:val="0"/>
          <w:numId w:val="1"/>
        </w:numPr>
        <w:spacing w:after="60"/>
      </w:pPr>
      <w:r>
        <w:rPr>
          <w:sz w:val="22"/>
          <w:szCs w:val="22"/>
        </w:rPr>
        <w:t xml:space="preserve">Intra-anaesthesia monitoring record — temperature, heart rate, cardiac rhythm, respiratory rate, blood pressure, oxygen saturation, end-tidal CO2.</w:t>
      </w:r>
    </w:p>
    <w:p>
      <w:pPr>
        <w:pStyle w:val="ListParagraph"/>
        <w:numPr>
          <w:ilvl w:val="0"/>
          <w:numId w:val="1"/>
        </w:numPr>
        <w:spacing w:after="60"/>
      </w:pPr>
      <w:r>
        <w:rPr>
          <w:sz w:val="22"/>
          <w:szCs w:val="22"/>
        </w:rPr>
        <w:t xml:space="preserve">Monitoring-frequency documentation.</w:t>
      </w:r>
    </w:p>
    <w:p>
      <w:pPr>
        <w:pStyle w:val="ListParagraph"/>
        <w:numPr>
          <w:ilvl w:val="0"/>
          <w:numId w:val="1"/>
        </w:numPr>
        <w:spacing w:after="60"/>
      </w:pPr>
      <w:r>
        <w:rPr>
          <w:sz w:val="22"/>
          <w:szCs w:val="22"/>
        </w:rPr>
        <w:t xml:space="preserve">Equipment-calibration record.</w:t>
      </w:r>
    </w:p>
    <w:p>
      <w:pPr>
        <w:pStyle w:val="Heading2"/>
        <w:spacing w:after="100" w:before="220"/>
      </w:pPr>
      <w:r>
        <w:t xml:space="preserve">COP.13.f — Patient’s post-anaesthesia status is monitored and documented.</w:t>
      </w:r>
    </w:p>
    <w:p>
      <w:pPr>
        <w:pStyle w:val="ListParagraph"/>
        <w:numPr>
          <w:ilvl w:val="0"/>
          <w:numId w:val="1"/>
        </w:numPr>
        <w:spacing w:after="60"/>
      </w:pPr>
      <w:r>
        <w:rPr>
          <w:sz w:val="22"/>
          <w:szCs w:val="22"/>
        </w:rPr>
        <w:t xml:space="preserve">Post-anaesthesia monitoring record.</w:t>
      </w:r>
    </w:p>
    <w:p>
      <w:pPr>
        <w:pStyle w:val="ListParagraph"/>
        <w:numPr>
          <w:ilvl w:val="0"/>
          <w:numId w:val="1"/>
        </w:numPr>
        <w:spacing w:after="60"/>
      </w:pPr>
      <w:r>
        <w:rPr>
          <w:sz w:val="22"/>
          <w:szCs w:val="22"/>
        </w:rPr>
        <w:t xml:space="preserve">Documentation-completeness check.</w:t>
      </w:r>
    </w:p>
    <w:p>
      <w:pPr>
        <w:pStyle w:val="ListParagraph"/>
        <w:numPr>
          <w:ilvl w:val="0"/>
          <w:numId w:val="1"/>
        </w:numPr>
        <w:spacing w:after="60"/>
      </w:pPr>
      <w:r>
        <w:rPr>
          <w:sz w:val="22"/>
          <w:szCs w:val="22"/>
        </w:rPr>
        <w:t xml:space="preserve">Recovery-status tracking record.</w:t>
      </w:r>
    </w:p>
    <w:p>
      <w:pPr>
        <w:pStyle w:val="Heading2"/>
        <w:spacing w:after="100" w:before="220"/>
      </w:pPr>
      <w:r>
        <w:t xml:space="preserve">COP.13.g — The anaesthesiologist applies defined criteria to transfer the patient from the recovery area.</w:t>
      </w:r>
    </w:p>
    <w:p>
      <w:pPr>
        <w:pStyle w:val="ListParagraph"/>
        <w:numPr>
          <w:ilvl w:val="0"/>
          <w:numId w:val="1"/>
        </w:numPr>
        <w:spacing w:after="60"/>
      </w:pPr>
      <w:r>
        <w:rPr>
          <w:sz w:val="22"/>
          <w:szCs w:val="22"/>
        </w:rPr>
        <w:t xml:space="preserve">Written recovery-transfer criteria.</w:t>
      </w:r>
    </w:p>
    <w:p>
      <w:pPr>
        <w:pStyle w:val="ListParagraph"/>
        <w:numPr>
          <w:ilvl w:val="0"/>
          <w:numId w:val="1"/>
        </w:numPr>
        <w:spacing w:after="60"/>
      </w:pPr>
      <w:r>
        <w:rPr>
          <w:sz w:val="22"/>
          <w:szCs w:val="22"/>
        </w:rPr>
        <w:t xml:space="preserve">Criteria-application record for a sampled transfer.</w:t>
      </w:r>
    </w:p>
    <w:p>
      <w:pPr>
        <w:pStyle w:val="ListParagraph"/>
        <w:numPr>
          <w:ilvl w:val="0"/>
          <w:numId w:val="1"/>
        </w:numPr>
        <w:spacing w:after="60"/>
      </w:pPr>
      <w:r>
        <w:rPr>
          <w:sz w:val="22"/>
          <w:szCs w:val="22"/>
        </w:rPr>
        <w:t xml:space="preserve">Anaesthesiologist sign-off record.</w:t>
      </w:r>
    </w:p>
    <w:p>
      <w:pPr>
        <w:pStyle w:val="Heading2"/>
        <w:spacing w:after="100" w:before="220"/>
      </w:pPr>
      <w:r>
        <w:t xml:space="preserve">COP.13.h — The type of anaesthesia and anaesthetic medications used are documented in the patient record.</w:t>
      </w:r>
    </w:p>
    <w:p>
      <w:pPr>
        <w:pStyle w:val="ListParagraph"/>
        <w:numPr>
          <w:ilvl w:val="0"/>
          <w:numId w:val="1"/>
        </w:numPr>
        <w:spacing w:after="60"/>
      </w:pPr>
      <w:r>
        <w:rPr>
          <w:sz w:val="22"/>
          <w:szCs w:val="22"/>
        </w:rPr>
        <w:t xml:space="preserve">Anaesthesia-type and medication documentation in the patient record.</w:t>
      </w:r>
    </w:p>
    <w:p>
      <w:pPr>
        <w:pStyle w:val="ListParagraph"/>
        <w:numPr>
          <w:ilvl w:val="0"/>
          <w:numId w:val="1"/>
        </w:numPr>
        <w:spacing w:after="60"/>
      </w:pPr>
      <w:r>
        <w:rPr>
          <w:sz w:val="22"/>
          <w:szCs w:val="22"/>
        </w:rPr>
        <w:t xml:space="preserve">Record-completeness check.</w:t>
      </w:r>
    </w:p>
    <w:p>
      <w:pPr>
        <w:pStyle w:val="ListParagraph"/>
        <w:numPr>
          <w:ilvl w:val="0"/>
          <w:numId w:val="1"/>
        </w:numPr>
        <w:spacing w:after="60"/>
      </w:pPr>
      <w:r>
        <w:rPr>
          <w:sz w:val="22"/>
          <w:szCs w:val="22"/>
        </w:rPr>
        <w:t xml:space="preserve">Batch or dose documentation, where applicable.</w:t>
      </w:r>
    </w:p>
    <w:p>
      <w:pPr>
        <w:pStyle w:val="Heading2"/>
        <w:spacing w:after="100" w:before="220"/>
      </w:pPr>
      <w:r>
        <w:t xml:space="preserve">COP.13.i — Procedures shall comply with infection prevention and control guidelines to prevent cross-infection between patients.</w:t>
      </w:r>
    </w:p>
    <w:p>
      <w:pPr>
        <w:pStyle w:val="ListParagraph"/>
        <w:numPr>
          <w:ilvl w:val="0"/>
          <w:numId w:val="1"/>
        </w:numPr>
        <w:spacing w:after="60"/>
      </w:pPr>
      <w:r>
        <w:rPr>
          <w:sz w:val="22"/>
          <w:szCs w:val="22"/>
        </w:rPr>
        <w:t xml:space="preserve">IPC-compliance record for anaesthesia procedures (cross-reference the IPC chapter).</w:t>
      </w:r>
    </w:p>
    <w:p>
      <w:pPr>
        <w:pStyle w:val="ListParagraph"/>
        <w:numPr>
          <w:ilvl w:val="0"/>
          <w:numId w:val="1"/>
        </w:numPr>
        <w:spacing w:after="60"/>
      </w:pPr>
      <w:r>
        <w:rPr>
          <w:sz w:val="22"/>
          <w:szCs w:val="22"/>
        </w:rPr>
        <w:t xml:space="preserve">Equipment sterilisation or disinfection record.</w:t>
      </w:r>
    </w:p>
    <w:p>
      <w:pPr>
        <w:pStyle w:val="ListParagraph"/>
        <w:numPr>
          <w:ilvl w:val="0"/>
          <w:numId w:val="1"/>
        </w:numPr>
        <w:spacing w:after="60"/>
      </w:pPr>
      <w:r>
        <w:rPr>
          <w:sz w:val="22"/>
          <w:szCs w:val="22"/>
        </w:rPr>
        <w:t xml:space="preserve">Cross-infection-prevention observation record.</w:t>
      </w:r>
    </w:p>
    <w:p>
      <w:pPr>
        <w:pStyle w:val="Heading2"/>
        <w:spacing w:after="100" w:before="220"/>
      </w:pPr>
      <w:r>
        <w:t xml:space="preserve">COP.13.j — Intra-operative adverse anaesthesia events are recorded and monitored.</w:t>
      </w:r>
    </w:p>
    <w:p>
      <w:pPr>
        <w:pStyle w:val="ListParagraph"/>
        <w:numPr>
          <w:ilvl w:val="0"/>
          <w:numId w:val="1"/>
        </w:numPr>
        <w:spacing w:after="60"/>
      </w:pPr>
      <w:r>
        <w:rPr>
          <w:sz w:val="22"/>
          <w:szCs w:val="22"/>
        </w:rPr>
        <w:t xml:space="preserve">Adverse-anaesthesia-event log.</w:t>
      </w:r>
    </w:p>
    <w:p>
      <w:pPr>
        <w:pStyle w:val="ListParagraph"/>
        <w:numPr>
          <w:ilvl w:val="0"/>
          <w:numId w:val="1"/>
        </w:numPr>
        <w:spacing w:after="60"/>
      </w:pPr>
      <w:r>
        <w:rPr>
          <w:sz w:val="22"/>
          <w:szCs w:val="22"/>
        </w:rPr>
        <w:t xml:space="preserve">Monitoring and analysis record.</w:t>
      </w:r>
    </w:p>
    <w:p>
      <w:pPr>
        <w:pStyle w:val="ListParagraph"/>
        <w:numPr>
          <w:ilvl w:val="0"/>
          <w:numId w:val="1"/>
        </w:numPr>
        <w:spacing w:after="60"/>
      </w:pPr>
      <w:r>
        <w:rPr>
          <w:sz w:val="22"/>
          <w:szCs w:val="22"/>
        </w:rPr>
        <w:t xml:space="preserve">CAPA record, where applicable.</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«HCO/COP/POL/13»  |  Controlled document  |  Anaesthesia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2026-08-21T14:55:57.294Z</dcterms:created>
  <dcterms:modified xsi:type="dcterms:W3CDTF">2026-08-21T14:55:57.296Z</dcterms:modified>
</cp:coreProperties>
</file>

<file path=docProps/custom.xml><?xml version="1.0" encoding="utf-8"?>
<Properties xmlns="http://schemas.openxmlformats.org/officeDocument/2006/custom-properties" xmlns:vt="http://schemas.openxmlformats.org/officeDocument/2006/docPropsVTypes"/>
</file>