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Uniform Care Guided by Written Guidance</w:t>
      </w:r>
    </w:p>
    <w:p>
      <w:pPr>
        <w:spacing w:after="240"/>
        <w:jc w:val="center"/>
      </w:pPr>
      <w:r>
        <w:rPr>
          <w:i/>
          <w:iCs/>
          <w:sz w:val="20"/>
          <w:szCs w:val="20"/>
        </w:rPr>
        <w:t xml:space="preserve">HCO Full Accreditation, 6th Edition — COP.1.</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«HCO/COP/POL/01»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Uniform care to patients is provided in all settings of the organisation and is guided by written guidance.</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COP.1: Uniform care to patients is provided in all settings of the organisation and is guided by written guidance.</w:t>
      </w:r>
    </w:p>
    <w:p>
      <w:pPr>
        <w:spacing w:after="140"/>
      </w:pPr>
      <w:r>
        <w:rPr>
          <w:sz w:val="22"/>
          <w:szCs w:val="22"/>
        </w:rPr>
        <w:t xml:space="preserve">This policy covers all 6 requirements under this standard, listed in detail below.</w:t>
      </w:r>
    </w:p>
    <w:p>
      <w:pPr>
        <w:spacing w:after="140"/>
      </w:pPr>
      <w:r>
        <w:rPr>
          <w:sz w:val="22"/>
          <w:szCs w:val="22"/>
        </w:rPr>
        <w:t xml:space="preserve">This policy covers uniform care guided by written guidance specifically. Related duties — like patient assessment, patient rights, infection control, staffing, or medication management — are covered in the hospital's other policies, not repeated here.</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deliver or oversee the care described in COP.1 at Preview Hospital, including the «Quality Coordinator», treating doctors, nurses and the Quality Coordinator.</w:t>
      </w:r>
    </w:p>
    <w:p>
      <w:pPr>
        <w:spacing w:after="140"/>
      </w:pPr>
      <w:r>
        <w:rPr>
          <w:sz w:val="22"/>
          <w:szCs w:val="22"/>
        </w:rPr>
        <w:t xml:space="preserve">This policy covers all 6 requirements under this standard, listed in detail below.</w:t>
      </w:r>
    </w:p>
    <w:p>
      <w:pPr>
        <w:spacing w:after="140"/>
      </w:pPr>
      <w:r>
        <w:rPr>
          <w:sz w:val="22"/>
          <w:szCs w:val="22"/>
        </w:rPr>
        <w:t xml:space="preserve">This policy covers uniform care guided by written guidance specifically. Related duties — like patient assessment, patient rights, infection control, staffing, or medication management — are covered in the hospital's other policies, not repeated here. Spell out abbreviations on first use in training materials.</w:t>
      </w:r>
    </w:p>
    <w:p>
      <w:pPr>
        <w:pStyle w:val="Heading1"/>
        <w:spacing w:after="120" w:before="280"/>
      </w:pPr>
      <w:r>
        <w:t xml:space="preserve">3. Policy standards</w:t>
      </w:r>
    </w:p>
    <w:p>
      <w:pPr>
        <w:spacing w:after="140"/>
      </w:pPr>
      <w:r>
        <w:rPr>
          <w:sz w:val="22"/>
          <w:szCs w:val="22"/>
        </w:rPr>
        <w:t xml:space="preserve">Preview Hospital implements COP.1 so that uniform care to patients is provided in all settings of the organisation and is guided by written guidance..</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Uniform care is provided to patients following written guidance .</w:t>
      </w:r>
    </w:p>
    <w:p>
      <w:pPr>
        <w:spacing w:after="80"/>
      </w:pPr>
      <w:r>
        <w:rPr>
          <w:sz w:val="22"/>
          <w:szCs w:val="22"/>
        </w:rPr>
        <w:t xml:space="preserve">2. Do not skip: The organisation has a uniform process for identification of patients and uses at least two identifiers.</w:t>
      </w:r>
    </w:p>
    <w:p>
      <w:pPr>
        <w:spacing w:after="80"/>
      </w:pPr>
      <w:r>
        <w:rPr>
          <w:sz w:val="22"/>
          <w:szCs w:val="22"/>
        </w:rPr>
        <w:t xml:space="preserve">3. Do not skip: The organisation implements evidence-based clinical practice guidelines and / or clinical protocols to guide...</w:t>
      </w:r>
    </w:p>
    <w:p>
      <w:pPr>
        <w:spacing w:after="80"/>
      </w:pPr>
      <w:r>
        <w:rPr>
          <w:sz w:val="22"/>
          <w:szCs w:val="22"/>
        </w:rPr>
        <w:t xml:space="preserve">4. Do not skip: Clinical care pathways are developed, consistently followed across all settings of care, and reviewed...</w:t>
      </w:r>
    </w:p>
    <w:p>
      <w:pPr>
        <w:spacing w:after="80"/>
      </w:pPr>
      <w:r>
        <w:rPr>
          <w:sz w:val="22"/>
          <w:szCs w:val="22"/>
        </w:rPr>
        <w:t xml:space="preserve">5. Do not skip: Multi-disciplinary and multi-speciality care, where appropriate, is planned based on best clinical practices...</w:t>
      </w:r>
    </w:p>
    <w:p>
      <w:pPr>
        <w:spacing w:after="80"/>
      </w:pPr>
      <w:r>
        <w:rPr>
          <w:sz w:val="22"/>
          <w:szCs w:val="22"/>
        </w:rPr>
        <w:t xml:space="preserve">6. Do not skip: Telemedicine facility is provided safely and securely based on written guidance.</w:t>
      </w:r>
    </w:p>
    <w:p>
      <w:pPr>
        <w:spacing w:after="80"/>
      </w:pPr>
      <w:r>
        <w:rPr>
          <w:sz w:val="22"/>
          <w:szCs w:val="22"/>
        </w:rPr>
        <w:t xml:space="preserve">7. Staff who see a COP.1 rule broken report it the same shift to the «department in-charge» or the «Medical Superintendent».</w:t>
      </w:r>
    </w:p>
    <w:p>
      <w:pPr>
        <w:pStyle w:val="Heading1"/>
        <w:spacing w:after="120" w:before="280"/>
      </w:pPr>
      <w:r>
        <w:t xml:space="preserve">5. What we do</w:t>
      </w:r>
    </w:p>
    <w:p>
      <w:pPr>
        <w:pStyle w:val="Heading2"/>
        <w:spacing w:after="100" w:before="220"/>
      </w:pPr>
      <w:r>
        <w:t xml:space="preserve">5.1 Uniform care is provided to patients following written guidance</w:t>
      </w:r>
    </w:p>
    <w:p>
      <w:pPr>
        <w:spacing w:after="140"/>
      </w:pPr>
      <w:r>
        <w:rPr>
          <w:sz w:val="22"/>
          <w:szCs w:val="22"/>
        </w:rPr>
        <w:t xml:space="preserve">Uniform care is provided to patients following written guidance .</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2"/>
        <w:spacing w:after="100" w:before="220"/>
      </w:pPr>
      <w:r>
        <w:t xml:space="preserve">5.2 The organisation has a uniform process for identification of patients..</w:t>
      </w:r>
    </w:p>
    <w:p>
      <w:pPr>
        <w:spacing w:after="140"/>
      </w:pPr>
      <w:r>
        <w:rPr>
          <w:sz w:val="22"/>
          <w:szCs w:val="22"/>
        </w:rPr>
        <w:t xml:space="preserve">The organisation has a uniform process for identification of patients and uses at least two identifiers.</w:t>
      </w:r>
    </w:p>
    <w:p>
      <w:pPr>
        <w:spacing w:after="140"/>
      </w:pPr>
      <w:r>
        <w:rPr>
          <w:sz w:val="22"/>
          <w:szCs w:val="22"/>
        </w:rPr>
        <w:t xml:space="preserve">Staff follow the written guidance and record the action in the medical record or the department register named for this element.</w:t>
      </w:r>
    </w:p>
    <w:p>
      <w:pPr>
        <w:spacing w:after="140"/>
      </w:pPr>
      <w:r>
        <w:rPr>
          <w:sz w:val="22"/>
          <w:szCs w:val="22"/>
        </w:rPr>
        <w:t xml:space="preserve">This is a CORE objective element — non-compliance is not acceptable for accreditation.</w:t>
      </w:r>
    </w:p>
    <w:p>
      <w:pPr>
        <w:pStyle w:val="Heading2"/>
        <w:spacing w:after="100" w:before="220"/>
      </w:pPr>
      <w:r>
        <w:t xml:space="preserve">5.3 The organisation implements evidence-based clinical practice guidelines..</w:t>
      </w:r>
    </w:p>
    <w:p>
      <w:pPr>
        <w:spacing w:after="140"/>
      </w:pPr>
      <w:r>
        <w:rPr>
          <w:sz w:val="22"/>
          <w:szCs w:val="22"/>
        </w:rPr>
        <w:t xml:space="preserve">The organisation implements evidence-based clinical practice guidelines and / or clinical protocols to guide uniform patient care.</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5.4 Clinical care pathways are developed, consistently followed across all..</w:t>
      </w:r>
    </w:p>
    <w:p>
      <w:pPr>
        <w:spacing w:after="140"/>
      </w:pPr>
      <w:r>
        <w:rPr>
          <w:sz w:val="22"/>
          <w:szCs w:val="22"/>
        </w:rPr>
        <w:t xml:space="preserve">Clinical care pathways are developed, consistently followed across all settings of care, and reviewed periodically.</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5.5 Multi-disciplinary and multi-speciality care, where appropriate, is..</w:t>
      </w:r>
    </w:p>
    <w:p>
      <w:pPr>
        <w:spacing w:after="140"/>
      </w:pPr>
      <w:r>
        <w:rPr>
          <w:sz w:val="22"/>
          <w:szCs w:val="22"/>
        </w:rPr>
        <w:t xml:space="preserve">Multi-disciplinary and multi-speciality care, where appropriate, is planned based on best clinical practices / clinical practice guidelines and delivered in a uniform manner across the organisation.</w:t>
      </w:r>
    </w:p>
    <w:p>
      <w:pPr>
        <w:spacing w:after="140"/>
      </w:pPr>
      <w:r>
        <w:rPr>
          <w:sz w:val="22"/>
          <w:szCs w:val="22"/>
        </w:rPr>
        <w:t xml:space="preserve">Staff follow the written guidance and record the action in the medical record or the department register named for this element.</w:t>
      </w:r>
    </w:p>
    <w:p>
      <w:pPr>
        <w:pStyle w:val="Heading2"/>
        <w:spacing w:after="100" w:before="220"/>
      </w:pPr>
      <w:r>
        <w:t xml:space="preserve">5.6 Telemedicine facility is provided safely and securely based on written..</w:t>
      </w:r>
    </w:p>
    <w:p>
      <w:pPr>
        <w:spacing w:after="140"/>
      </w:pPr>
      <w:r>
        <w:rPr>
          <w:sz w:val="22"/>
          <w:szCs w:val="22"/>
        </w:rPr>
        <w:t xml:space="preserve">Telemedicine facility is provided safely and securely based on written guidance.</w:t>
      </w:r>
    </w:p>
    <w:p>
      <w:pPr>
        <w:spacing w:after="140"/>
      </w:pPr>
      <w:r>
        <w:rPr>
          <w:sz w:val="22"/>
          <w:szCs w:val="22"/>
        </w:rPr>
        <w:t xml:space="preserve">Method note: Follow the organisation's written guidance for this asterisked element; keep records that show the guidance was followed for the sampled cases.</w:t>
      </w:r>
    </w:p>
    <w:p>
      <w:pPr>
        <w:pStyle w:val="Heading1"/>
        <w:spacing w:after="120" w:before="280"/>
      </w:pPr>
      <w:r>
        <w:t xml:space="preserve">6. Governance and responsibility</w:t>
      </w:r>
    </w:p>
    <w:p>
      <w:pPr>
        <w:spacing w:after="20" w:before="100"/>
      </w:pPr>
      <w:r>
        <w:rPr>
          <w:b/>
          <w:bCs/>
          <w:sz w:val="22"/>
          <w:szCs w:val="22"/>
        </w:rPr>
        <w:t xml:space="preserve">Medical Superintendent</w:t>
      </w:r>
    </w:p>
    <w:p>
      <w:pPr>
        <w:pStyle w:val="ListParagraph"/>
        <w:numPr>
          <w:ilvl w:val="0"/>
          <w:numId w:val="1"/>
        </w:numPr>
        <w:spacing w:after="60"/>
      </w:pPr>
      <w:r>
        <w:rPr>
          <w:sz w:val="22"/>
          <w:szCs w:val="22"/>
        </w:rPr>
        <w:t xml:space="preserve">Accountable that COP.1 is resourced and followed.</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Owns day-to-day implementation and records for this standard.</w:t>
      </w:r>
    </w:p>
    <w:p>
      <w:pPr>
        <w:spacing w:after="20" w:before="100"/>
      </w:pPr>
      <w:r>
        <w:rPr>
          <w:b/>
          <w:bCs/>
          <w:sz w:val="22"/>
          <w:szCs w:val="22"/>
        </w:rPr>
        <w:t xml:space="preserve">Treating doctors / nurses / technicians (as applicable)</w:t>
      </w:r>
    </w:p>
    <w:p>
      <w:pPr>
        <w:pStyle w:val="ListParagraph"/>
        <w:numPr>
          <w:ilvl w:val="0"/>
          <w:numId w:val="1"/>
        </w:numPr>
        <w:spacing w:after="60"/>
      </w:pPr>
      <w:r>
        <w:rPr>
          <w:sz w:val="22"/>
          <w:szCs w:val="22"/>
        </w:rPr>
        <w:t xml:space="preserve">Deliver care as written; escalate stop-work triggers without delay.</w:t>
      </w:r>
    </w:p>
    <w:p>
      <w:pPr>
        <w:spacing w:after="20" w:before="100"/>
      </w:pPr>
      <w:r>
        <w:rPr>
          <w:b/>
          <w:bCs/>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 The audit reviews:</w:t>
      </w:r>
    </w:p>
    <w:p>
      <w:pPr>
        <w:pStyle w:val="ListParagraph"/>
        <w:numPr>
          <w:ilvl w:val="0"/>
          <w:numId w:val="1"/>
        </w:numPr>
        <w:spacing w:after="60"/>
      </w:pPr>
      <w:r>
        <w:rPr>
          <w:sz w:val="22"/>
          <w:szCs w:val="22"/>
        </w:rPr>
        <w:t xml:space="preserve">Records for a sample of this standard's objective elements, checked against the What-we-do steps.</w:t>
      </w:r>
    </w:p>
    <w:p>
      <w:pPr>
        <w:pStyle w:val="ListParagraph"/>
        <w:numPr>
          <w:ilvl w:val="0"/>
          <w:numId w:val="1"/>
        </w:numPr>
        <w:spacing w:after="60"/>
      </w:pPr>
      <w:r>
        <w:rPr>
          <w:sz w:val="22"/>
          <w:szCs w:val="22"/>
        </w:rPr>
        <w:t xml:space="preserve">Documentary evidence is on file for each asterisked objective element in the sample.</w:t>
      </w:r>
    </w:p>
    <w:p>
      <w:pPr>
        <w:pStyle w:val="ListParagraph"/>
        <w:numPr>
          <w:ilvl w:val="0"/>
          <w:numId w:val="1"/>
        </w:numPr>
        <w:spacing w:after="60"/>
      </w:pPr>
      <w:r>
        <w:rPr>
          <w:sz w:val="22"/>
          <w:szCs w:val="22"/>
        </w:rPr>
        <w:t xml:space="preserve">CORE objective elements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Root-cause analysis is required when a gap found in this audit remains open beyond «90 days».</w:t>
      </w:r>
    </w:p>
    <w:p>
      <w:pPr>
        <w:spacing w:after="140"/>
      </w:pPr>
      <w:r>
        <w:rPr>
          <w:sz w:val="22"/>
          <w:szCs w:val="22"/>
        </w:rPr>
        <w:t xml:space="preserve">This policy is reviewed «annually», and sooner after a related adverse event.</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Uniform Care Guided by Written Guidance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Care of Patients, standard COP.1.</w:t>
      </w:r>
    </w:p>
    <w:p>
      <w:pPr>
        <w:pStyle w:val="ListParagraph"/>
        <w:numPr>
          <w:ilvl w:val="0"/>
          <w:numId w:val="1"/>
        </w:numPr>
        <w:spacing w:after="60"/>
      </w:pPr>
      <w:r>
        <w:rPr>
          <w:sz w:val="22"/>
          <w:szCs w:val="22"/>
        </w:rPr>
        <w:t xml:space="preserve">NABH Guidebook to Accreditation Standards for Hospitals, 6th Edition — COP.1 interpretations (source PDF md5 2c4489ee98de4ae9b49cba168ea9f42a).</w:t>
      </w:r>
    </w:p>
    <w:p>
      <w:pPr>
        <w:pStyle w:val="ListParagraph"/>
        <w:numPr>
          <w:ilvl w:val="0"/>
          <w:numId w:val="1"/>
        </w:numPr>
        <w:spacing w:after="60"/>
      </w:pPr>
      <w:r>
        <w:rPr>
          <w:sz w:val="22"/>
          <w:szCs w:val="22"/>
        </w:rPr>
        <w:t xml:space="preserve">Internal documents of Preview Hospital: written guidance and registers named for COP.1.</w:t>
      </w:r>
    </w:p>
    <w:p>
      <w:pPr>
        <w:pStyle w:val="Heading1"/>
        <w:spacing w:after="120" w:before="280"/>
      </w:pPr>
      <w:r>
        <w:t xml:space="preserve">10. Distribution</w:t>
      </w:r>
    </w:p>
    <w:p>
      <w:pPr>
        <w:spacing w:after="140"/>
      </w:pPr>
      <w:r>
        <w:rPr>
          <w:sz w:val="22"/>
          <w:szCs w:val="22"/>
        </w:rPr>
        <w:t xml:space="preserve">Medical Superintendent; Quality Coordinator; department clinical staff covered by COP.1</w:t>
      </w:r>
    </w:p>
    <w:p>
      <w:pPr>
        <w:pStyle w:val="Heading1"/>
        <w:spacing w:after="120" w:before="280"/>
      </w:pPr>
      <w:r>
        <w:t xml:space="preserve">11. Abbreviations</w:t>
      </w:r>
    </w:p>
    <w:p>
      <w:pPr>
        <w:spacing w:after="140"/>
      </w:pPr>
      <w:r>
        <w:rPr>
          <w:sz w:val="22"/>
          <w:szCs w:val="22"/>
        </w:rPr>
        <w:t xml:space="preserve">COP — Care of Patients (NABH Hospitals chapter)
NABH — National Accreditation Board for Hospitals and Healthcare Providers
OE — Objective Element
CORE — Core objective element (NABH)
RCA — Root Cause Analysis
CAPA — Corrective and Preventive Action</w:t>
      </w:r>
    </w:p>
    <w:p>
      <w:pPr>
        <w:pStyle w:val="Heading1"/>
        <w:spacing w:after="120" w:before="280"/>
      </w:pPr>
      <w:r>
        <w:t xml:space="preserve">12. Traceability to NABH HCO Full Accreditation 6th Edition COP.1</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Uniform care is provided to patients following written guidance .</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has a uniform process for identification of patients and uses at least two identifiers.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evidence-based clinical practice guidelines and / or clinical protocols to guide uniform patient care.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Clinical care pathways are developed, consistently followed across all settings of care, and reviewed periodically.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Multi-disciplinary and multi-speciality care, where appropriate, is planned based on best clinical practices / clinical practice guidelines and delivered in a uniform manner across the organisation.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COP.1.f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Telemedicine facility is provided safely and securely based on written guidance.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Quality Coordinator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COP.1.a — Uniform care is provided to patients following written guidance .</w:t>
      </w:r>
    </w:p>
    <w:p>
      <w:pPr>
        <w:pStyle w:val="ListParagraph"/>
        <w:numPr>
          <w:ilvl w:val="0"/>
          <w:numId w:val="1"/>
        </w:numPr>
        <w:spacing w:after="60"/>
      </w:pPr>
      <w:r>
        <w:rPr>
          <w:sz w:val="22"/>
          <w:szCs w:val="22"/>
        </w:rPr>
        <w:t xml:space="preserve">Written uniform-care guidance or protocol document.</w:t>
      </w:r>
    </w:p>
    <w:p>
      <w:pPr>
        <w:pStyle w:val="ListParagraph"/>
        <w:numPr>
          <w:ilvl w:val="0"/>
          <w:numId w:val="1"/>
        </w:numPr>
        <w:spacing w:after="60"/>
      </w:pPr>
      <w:r>
        <w:rPr>
          <w:sz w:val="22"/>
          <w:szCs w:val="22"/>
        </w:rPr>
        <w:t xml:space="preserve">Staff training record on the guidance.</w:t>
      </w:r>
    </w:p>
    <w:p>
      <w:pPr>
        <w:pStyle w:val="ListParagraph"/>
        <w:numPr>
          <w:ilvl w:val="0"/>
          <w:numId w:val="1"/>
        </w:numPr>
        <w:spacing w:after="60"/>
      </w:pPr>
      <w:r>
        <w:rPr>
          <w:sz w:val="22"/>
          <w:szCs w:val="22"/>
        </w:rPr>
        <w:t xml:space="preserve">Cross-setting consistency-check record (OPD, IPD, emergency).</w:t>
      </w:r>
    </w:p>
    <w:p>
      <w:pPr>
        <w:pStyle w:val="Heading2"/>
        <w:spacing w:after="100" w:before="220"/>
      </w:pPr>
      <w:r>
        <w:t xml:space="preserve">COP.1.b — The organisation has a uniform process for identification of patients and uses at least two identifiers.</w:t>
      </w:r>
    </w:p>
    <w:p>
      <w:pPr>
        <w:pStyle w:val="ListParagraph"/>
        <w:numPr>
          <w:ilvl w:val="0"/>
          <w:numId w:val="1"/>
        </w:numPr>
        <w:spacing w:after="60"/>
      </w:pPr>
      <w:r>
        <w:rPr>
          <w:sz w:val="22"/>
          <w:szCs w:val="22"/>
        </w:rPr>
        <w:t xml:space="preserve">Written patient-identification procedure naming the two identifiers used.</w:t>
      </w:r>
    </w:p>
    <w:p>
      <w:pPr>
        <w:pStyle w:val="ListParagraph"/>
        <w:numPr>
          <w:ilvl w:val="0"/>
          <w:numId w:val="1"/>
        </w:numPr>
        <w:spacing w:after="60"/>
      </w:pPr>
      <w:r>
        <w:rPr>
          <w:sz w:val="22"/>
          <w:szCs w:val="22"/>
        </w:rPr>
        <w:t xml:space="preserve">Identification-practice observation record for a sampled encounter.</w:t>
      </w:r>
    </w:p>
    <w:p>
      <w:pPr>
        <w:pStyle w:val="ListParagraph"/>
        <w:numPr>
          <w:ilvl w:val="0"/>
          <w:numId w:val="1"/>
        </w:numPr>
        <w:spacing w:after="60"/>
      </w:pPr>
      <w:r>
        <w:rPr>
          <w:sz w:val="22"/>
          <w:szCs w:val="22"/>
        </w:rPr>
        <w:t xml:space="preserve">Wristband or ID-card record, where used.</w:t>
      </w:r>
    </w:p>
    <w:p>
      <w:pPr>
        <w:pStyle w:val="Heading2"/>
        <w:spacing w:after="100" w:before="220"/>
      </w:pPr>
      <w:r>
        <w:t xml:space="preserve">COP.1.c — The organisation implements evidence-based clinical practice guidelines and / or clinical protocols to guide uniform patient care.</w:t>
      </w:r>
    </w:p>
    <w:p>
      <w:pPr>
        <w:pStyle w:val="ListParagraph"/>
        <w:numPr>
          <w:ilvl w:val="0"/>
          <w:numId w:val="1"/>
        </w:numPr>
        <w:spacing w:after="60"/>
      </w:pPr>
      <w:r>
        <w:rPr>
          <w:sz w:val="22"/>
          <w:szCs w:val="22"/>
        </w:rPr>
        <w:t xml:space="preserve">Adopted clinical practice guideline or protocol list.</w:t>
      </w:r>
    </w:p>
    <w:p>
      <w:pPr>
        <w:pStyle w:val="ListParagraph"/>
        <w:numPr>
          <w:ilvl w:val="0"/>
          <w:numId w:val="1"/>
        </w:numPr>
        <w:spacing w:after="60"/>
      </w:pPr>
      <w:r>
        <w:rPr>
          <w:sz w:val="22"/>
          <w:szCs w:val="22"/>
        </w:rPr>
        <w:t xml:space="preserve">Reference-source record (professional body, national or international guideline).</w:t>
      </w:r>
    </w:p>
    <w:p>
      <w:pPr>
        <w:pStyle w:val="ListParagraph"/>
        <w:numPr>
          <w:ilvl w:val="0"/>
          <w:numId w:val="1"/>
        </w:numPr>
        <w:spacing w:after="60"/>
      </w:pPr>
      <w:r>
        <w:rPr>
          <w:sz w:val="22"/>
          <w:szCs w:val="22"/>
        </w:rPr>
        <w:t xml:space="preserve">Staff-access record to the current guidelines.</w:t>
      </w:r>
    </w:p>
    <w:p>
      <w:pPr>
        <w:pStyle w:val="Heading2"/>
        <w:spacing w:after="100" w:before="220"/>
      </w:pPr>
      <w:r>
        <w:t xml:space="preserve">COP.1.d — Clinical care pathways are developed, consistently followed across all settings of care, and reviewed periodically.</w:t>
      </w:r>
    </w:p>
    <w:p>
      <w:pPr>
        <w:pStyle w:val="ListParagraph"/>
        <w:numPr>
          <w:ilvl w:val="0"/>
          <w:numId w:val="1"/>
        </w:numPr>
        <w:spacing w:after="60"/>
      </w:pPr>
      <w:r>
        <w:rPr>
          <w:sz w:val="22"/>
          <w:szCs w:val="22"/>
        </w:rPr>
        <w:t xml:space="preserve">Developed care-pathway document for a selected condition.</w:t>
      </w:r>
    </w:p>
    <w:p>
      <w:pPr>
        <w:pStyle w:val="ListParagraph"/>
        <w:numPr>
          <w:ilvl w:val="0"/>
          <w:numId w:val="1"/>
        </w:numPr>
        <w:spacing w:after="60"/>
      </w:pPr>
      <w:r>
        <w:rPr>
          <w:sz w:val="22"/>
          <w:szCs w:val="22"/>
        </w:rPr>
        <w:t xml:space="preserve">Consistency-check record across care settings.</w:t>
      </w:r>
    </w:p>
    <w:p>
      <w:pPr>
        <w:pStyle w:val="ListParagraph"/>
        <w:numPr>
          <w:ilvl w:val="0"/>
          <w:numId w:val="1"/>
        </w:numPr>
        <w:spacing w:after="60"/>
      </w:pPr>
      <w:r>
        <w:rPr>
          <w:sz w:val="22"/>
          <w:szCs w:val="22"/>
        </w:rPr>
        <w:t xml:space="preserve">Periodic-review record of the pathway.</w:t>
      </w:r>
    </w:p>
    <w:p>
      <w:pPr>
        <w:pStyle w:val="Heading2"/>
        <w:spacing w:after="100" w:before="220"/>
      </w:pPr>
      <w:r>
        <w:t xml:space="preserve">COP.1.e — Multi-disciplinary and multi-speciality care, where appropriate, is planned based on best clinical practices / clinical practice guidelines and delivered in a uniform manner across the organisation.</w:t>
      </w:r>
    </w:p>
    <w:p>
      <w:pPr>
        <w:pStyle w:val="ListParagraph"/>
        <w:numPr>
          <w:ilvl w:val="0"/>
          <w:numId w:val="1"/>
        </w:numPr>
        <w:spacing w:after="60"/>
      </w:pPr>
      <w:r>
        <w:rPr>
          <w:sz w:val="22"/>
          <w:szCs w:val="22"/>
        </w:rPr>
        <w:t xml:space="preserve">Multi-disciplinary care-planning record for a sampled complex case.</w:t>
      </w:r>
    </w:p>
    <w:p>
      <w:pPr>
        <w:pStyle w:val="ListParagraph"/>
        <w:numPr>
          <w:ilvl w:val="0"/>
          <w:numId w:val="1"/>
        </w:numPr>
        <w:spacing w:after="60"/>
      </w:pPr>
      <w:r>
        <w:rPr>
          <w:sz w:val="22"/>
          <w:szCs w:val="22"/>
        </w:rPr>
        <w:t xml:space="preserve">Best-practice or guideline reference used.</w:t>
      </w:r>
    </w:p>
    <w:p>
      <w:pPr>
        <w:pStyle w:val="ListParagraph"/>
        <w:numPr>
          <w:ilvl w:val="0"/>
          <w:numId w:val="1"/>
        </w:numPr>
        <w:spacing w:after="60"/>
      </w:pPr>
      <w:r>
        <w:rPr>
          <w:sz w:val="22"/>
          <w:szCs w:val="22"/>
        </w:rPr>
        <w:t xml:space="preserve">Uniform-delivery record across the organisation.</w:t>
      </w:r>
    </w:p>
    <w:p>
      <w:pPr>
        <w:pStyle w:val="Heading2"/>
        <w:spacing w:after="100" w:before="220"/>
      </w:pPr>
      <w:r>
        <w:t xml:space="preserve">COP.1.f — Telemedicine facility is provided safely and securely based on written guidance.</w:t>
      </w:r>
    </w:p>
    <w:p>
      <w:pPr>
        <w:pStyle w:val="ListParagraph"/>
        <w:numPr>
          <w:ilvl w:val="0"/>
          <w:numId w:val="1"/>
        </w:numPr>
        <w:spacing w:after="60"/>
      </w:pPr>
      <w:r>
        <w:rPr>
          <w:sz w:val="22"/>
          <w:szCs w:val="22"/>
        </w:rPr>
        <w:t xml:space="preserve">Written telemedicine guidance covering safety and security.</w:t>
      </w:r>
    </w:p>
    <w:p>
      <w:pPr>
        <w:pStyle w:val="ListParagraph"/>
        <w:numPr>
          <w:ilvl w:val="0"/>
          <w:numId w:val="1"/>
        </w:numPr>
        <w:spacing w:after="60"/>
      </w:pPr>
      <w:r>
        <w:rPr>
          <w:sz w:val="22"/>
          <w:szCs w:val="22"/>
        </w:rPr>
        <w:t xml:space="preserve">Telemedicine Practice Guidelines (MoHFW) compliance record.</w:t>
      </w:r>
    </w:p>
    <w:p>
      <w:pPr>
        <w:pStyle w:val="ListParagraph"/>
        <w:numPr>
          <w:ilvl w:val="0"/>
          <w:numId w:val="1"/>
        </w:numPr>
        <w:spacing w:after="60"/>
      </w:pPr>
      <w:r>
        <w:rPr>
          <w:sz w:val="22"/>
          <w:szCs w:val="22"/>
        </w:rPr>
        <w:t xml:space="preserve">Consultation-documentation record for a sampled telemedicine encounter.</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«HCO/COP/POL/01»  |  Controlled document  |  Uniform Care Guided by Written Guidance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2026-08-21T14:56:03.168Z</dcterms:created>
  <dcterms:modified xsi:type="dcterms:W3CDTF">2026-08-21T14:56:03.172Z</dcterms:modified>
</cp:coreProperties>
</file>

<file path=docProps/custom.xml><?xml version="1.0" encoding="utf-8"?>
<Properties xmlns="http://schemas.openxmlformats.org/officeDocument/2006/custom-properties" xmlns:vt="http://schemas.openxmlformats.org/officeDocument/2006/docPropsVTypes"/>
</file>