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Policy on the Content of the Discharge Summary</w:t>
      </w:r>
    </w:p>
    <w:p>
      <w:pPr/>
      <w:r>
        <w:t>«Hospital Name»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HCO/AAC/POL/13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Issue No.</w:t>
            </w:r>
          </w:p>
        </w:tc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Review due</w:t>
            </w:r>
          </w:p>
        </w:tc>
        <w:tc>
          <w:tcPr>
            <w:tcW w:type="dxa" w:w="2160"/>
          </w:tcPr>
          <w:p>
            <w:r>
              <w:t>One year from implementation</w:t>
            </w:r>
          </w:p>
        </w:tc>
      </w:tr>
      <w:tr>
        <w:tc>
          <w:tcPr>
            <w:tcW w:type="dxa" w:w="2160"/>
          </w:tcPr>
          <w:p>
            <w:r>
              <w:t>Date created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Date of implementation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6480"/>
            <w:gridSpan w:val="3"/>
          </w:tcPr>
          <w:p>
            <w:r>
              <w:t>Medical Superintendent  Name: ________  Signature: ________</w:t>
            </w:r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6480"/>
            <w:gridSpan w:val="3"/>
          </w:tcPr>
          <w:p>
            <w:r>
              <w:t>Quality Coordinator  Name: ________  Signature: ________</w:t>
            </w:r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6480"/>
            <w:gridSpan w:val="3"/>
          </w:tcPr>
          <w:p>
            <w:r>
              <w:t>Medical Superintendent  Name: ________  Signature: ________</w:t>
            </w:r>
          </w:p>
        </w:tc>
      </w:tr>
    </w:tbl>
    <w:p>
      <w:pPr>
        <w:pStyle w:val="Heading1"/>
      </w:pPr>
      <w:r>
        <w:t>Statement of intent</w:t>
      </w:r>
    </w:p>
    <w:p>
      <w:pPr/>
      <w:r>
        <w:t>«Hospital Name» defines the content of the discharge summary: provided at the time of discharge, signed and acknowledged, standardised in content, written in an understandable manner with follow-up and medication instructions, incorporating urgent-care instructions, and including cause of death where applicable.</w:t>
      </w:r>
    </w:p>
    <w:p>
      <w:pPr>
        <w:pStyle w:val="Heading1"/>
      </w:pPr>
      <w:r>
        <w:t>1. Purpose</w:t>
      </w:r>
    </w:p>
    <w:p>
      <w:pPr/>
      <w:r>
        <w:t>This policy explains what «Hospital Name»'s discharge summary contains and how instructions are written: provision and acknowledgement at discharge, standardised minimum content, understandable follow-up and medication instructions, urgent-care instructions, and cause of death in case of death.</w:t>
      </w:r>
    </w:p>
    <w:p>
      <w:pPr/>
      <w:r>
        <w:t>The discharge process itself — planning, coordination, LAMA guidance, and that a summary is given — is covered in the hospital's other policies.</w:t>
      </w:r>
    </w:p>
    <w:p>
      <w:pPr>
        <w:pStyle w:val="Heading1"/>
      </w:pPr>
      <w:r>
        <w:t>2. Scope</w:t>
      </w:r>
    </w:p>
    <w:p>
      <w:pPr/>
      <w:r>
        <w:t>This policy applies to treating doctors and doctor members of treating teams who prepare and sign discharge summaries, and to all patients and families receiving a discharge or death summary at «Hospital Name».</w:t>
      </w:r>
    </w:p>
    <w:p>
      <w:pPr>
        <w:pStyle w:val="Heading1"/>
      </w:pPr>
      <w:r>
        <w:t>3. Policy standards</w:t>
      </w:r>
    </w:p>
    <w:p>
      <w:pPr/>
      <w:r>
        <w:t>A discharge summary is provided to the patient at the time of discharge, signed by the treating doctor or a doctor member of the treating team, and acknowledged by the patient or family. The discharge summary has standardised minimum content.</w:t>
      </w:r>
    </w:p>
    <w:p>
      <w:pPr/>
      <w:r>
        <w:t>The summary contains follow-up advice, medication and other instructions in an understandable manner, incorporates instructions about when and how to obtain urgent care, and, in case of death, includes the cause of death.</w:t>
      </w:r>
    </w:p>
    <w:p>
      <w:pPr>
        <w:pStyle w:val="Heading1"/>
      </w:pPr>
      <w:r>
        <w:t>4. Non-negotiable rules</w:t>
      </w:r>
    </w:p>
    <w:p>
      <w:pPr>
        <w:pStyle w:val="ListBullet"/>
      </w:pPr>
      <w:r>
        <w:t>Do not issue a discharge summary without the signature of the treating doctor or a doctor member of the treating team, or without a recorded acknowledgement of receipt by the patient or family.</w:t>
      </w:r>
    </w:p>
    <w:p>
      <w:pPr>
        <w:pStyle w:val="ListBullet"/>
      </w:pPr>
      <w:r>
        <w:t>Do not omit any of the standardised minimum content fields from a discharge summary without recording the reason it is not applicable.</w:t>
      </w:r>
    </w:p>
    <w:p>
      <w:pPr>
        <w:pStyle w:val="ListBullet"/>
      </w:pPr>
      <w:r>
        <w:t>Do not write medication frequencies using abbreviations such as BD, TID or QID — write them in plain words the patient can understand.</w:t>
      </w:r>
    </w:p>
    <w:p>
      <w:pPr>
        <w:pStyle w:val="ListBullet"/>
      </w:pPr>
      <w:r>
        <w:t>Do not omit urgent-care instructions specific to the patient's diagnosis and condition, or the hospital or doctor contact number, from the discharge summary.</w:t>
      </w:r>
    </w:p>
    <w:p>
      <w:pPr>
        <w:pStyle w:val="ListBullet"/>
      </w:pPr>
      <w:r>
        <w:t>Do not issue a death summary without stating the cause of death, or without documenting a post-mortem when the cause is unclear.</w:t>
      </w:r>
    </w:p>
    <w:p>
      <w:pPr>
        <w:pStyle w:val="Heading1"/>
      </w:pPr>
      <w:r>
        <w:t>5. What we do</w:t>
      </w:r>
    </w:p>
    <w:p>
      <w:pPr>
        <w:pStyle w:val="Heading2"/>
      </w:pPr>
      <w:r>
        <w:t>5.1 Provide and acknowledge the discharge summary</w:t>
      </w:r>
    </w:p>
    <w:p>
      <w:pPr/>
      <w:r>
        <w:t>A discharge summary is provided to the patient at the time of discharge. The discharge summary is signed by the treating doctor or a doctor member of the treating team. The patient or family acknowledges receipt of the summary, and this acknowledgement is recorded with date and name of the person receiving it.</w:t>
      </w:r>
    </w:p>
    <w:p>
      <w:pPr>
        <w:pStyle w:val="Heading2"/>
      </w:pPr>
      <w:r>
        <w:t>5.2 Standardise discharge summary content</w:t>
      </w:r>
    </w:p>
    <w:p>
      <w:pPr/>
      <w:r>
        <w:t>Discharge summaries have standardised minimum content: patient's name; unique identification number; name of the treating doctor; date of admission and date of discharge; reasons for admission; significant findings, diagnosis and the patient's condition at discharge; investigation results; any procedure performed; medication administered; and any other treatment given. The summary may also name other consultants involved in treatment.</w:t>
      </w:r>
    </w:p>
    <w:p>
      <w:pPr>
        <w:pStyle w:val="Heading2"/>
      </w:pPr>
      <w:r>
        <w:t>5.3 Write understandable follow-up and medication instructions</w:t>
      </w:r>
    </w:p>
    <w:p>
      <w:pPr/>
      <w:r>
        <w:t>The discharge summary contains follow-up advice, medication and other instructions in an understandable manner. Instructions are explained to the patient and/or relatives in a language and manner they understand. Medical abbreviations such as BD, TID and QID are not used; frequencies are written in plain words — for example morning and night, three times a day. Instructions include safe and effective use of medical equipment at home where applicable, and wound-care or pressure-ulcer care instructions for post-operative patients where relevant.</w:t>
      </w:r>
    </w:p>
    <w:p>
      <w:pPr>
        <w:pStyle w:val="Heading2"/>
      </w:pPr>
      <w:r>
        <w:t>5.4 Incorporate urgent-care instructions</w:t>
      </w:r>
    </w:p>
    <w:p>
      <w:pPr/>
      <w:r>
        <w:t>The discharge summary incorporates instructions about when and how to obtain urgent care, specific to the patient's diagnosis and clinical condition at discharge — for example development of fever, or bleeding or discharge from the operative site. Instructions may state what medicines to take, when to consult a doctor, how to seek medical help, and the contact number of the hospital or doctor. These instructions are explained to the patient and/or relatives in a language and manner they understand.</w:t>
      </w:r>
    </w:p>
    <w:p>
      <w:pPr>
        <w:pStyle w:val="Heading2"/>
      </w:pPr>
      <w:r>
        <w:t>5.5 Include cause of death where applicable</w:t>
      </w:r>
    </w:p>
    <w:p>
      <w:pPr/>
      <w:r>
        <w:t>In case of death, the summary of the case includes the cause of death. When the cause of death is not clear, a post-mortem is performed — for example in a medico-legal case — and documented.</w:t>
      </w:r>
    </w:p>
    <w:p>
      <w:pPr>
        <w:pStyle w:val="Heading1"/>
      </w:pPr>
      <w:r>
        <w:t>6. Stop-work authority</w:t>
      </w:r>
    </w:p>
    <w:p>
      <w:pPr/>
      <w:r>
        <w:t>Not applicable. This standard has no stop-work authority. Gaps in discharge summary content, signature, acknowledgement, or urgent-care instructions are addressed through the hospital's quality monitoring and CAPA process (Section 8), not through an immediate stop-work trigger.</w:t>
      </w:r>
    </w:p>
    <w:p>
      <w:pPr>
        <w:pStyle w:val="Heading1"/>
      </w:pPr>
      <w:r>
        <w:t>7. Governance and responsibility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Medical Superintendent</w:t>
            </w:r>
          </w:p>
        </w:tc>
        <w:tc>
          <w:tcPr>
            <w:tcW w:type="dxa" w:w="4320"/>
          </w:tcPr>
          <w:p>
            <w:r>
              <w:t>Accountable for the standardised discharge summary template and content requirements.</w:t>
            </w:r>
          </w:p>
        </w:tc>
      </w:tr>
      <w:tr>
        <w:tc>
          <w:tcPr>
            <w:tcW w:type="dxa" w:w="4320"/>
          </w:tcPr>
          <w:p>
            <w:r>
              <w:t>Treating Doctor</w:t>
            </w:r>
          </w:p>
        </w:tc>
        <w:tc>
          <w:tcPr>
            <w:tcW w:type="dxa" w:w="4320"/>
          </w:tcPr>
          <w:p>
            <w:r>
              <w:t>Prepares, signs, and explains the discharge summary, including urgent-care instructions, in an understandable manner.</w:t>
            </w:r>
          </w:p>
        </w:tc>
      </w:tr>
      <w:tr>
        <w:tc>
          <w:tcPr>
            <w:tcW w:type="dxa" w:w="4320"/>
          </w:tcPr>
          <w:p>
            <w:r>
              <w:t>Nursing Superintendent</w:t>
            </w:r>
          </w:p>
        </w:tc>
        <w:tc>
          <w:tcPr>
            <w:tcW w:type="dxa" w:w="4320"/>
          </w:tcPr>
          <w:p>
            <w:r>
              <w:t>Supports acknowledgement recording and equipment/wound-care instruction delivery.</w:t>
            </w:r>
          </w:p>
        </w:tc>
      </w:tr>
      <w:tr>
        <w:tc>
          <w:tcPr>
            <w:tcW w:type="dxa" w:w="4320"/>
          </w:tcPr>
          <w:p>
            <w:r>
              <w:t>Quality Coordinator</w:t>
            </w:r>
          </w:p>
        </w:tc>
        <w:tc>
          <w:tcPr>
            <w:tcW w:type="dxa" w:w="4320"/>
          </w:tcPr>
          <w:p>
            <w:r>
              <w:t>Audits this policy; holds discharge summary templates and completed-summary samples.</w:t>
            </w:r>
          </w:p>
        </w:tc>
      </w:tr>
    </w:tbl>
    <w:p>
      <w:pPr>
        <w:pStyle w:val="Heading1"/>
      </w:pPr>
      <w:r>
        <w:t>8. Quality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Monitoring area</w:t>
            </w:r>
          </w:p>
        </w:tc>
        <w:tc>
          <w:tcPr>
            <w:tcW w:type="dxa" w:w="4320"/>
          </w:tcPr>
          <w:p>
            <w:r>
              <w:t>What is monitored</w:t>
            </w:r>
          </w:p>
        </w:tc>
      </w:tr>
      <w:tr>
        <w:tc>
          <w:tcPr>
            <w:tcW w:type="dxa" w:w="4320"/>
          </w:tcPr>
          <w:p>
            <w:r>
              <w:t>Provision and acknowledgement</w:t>
            </w:r>
          </w:p>
        </w:tc>
        <w:tc>
          <w:tcPr>
            <w:tcW w:type="dxa" w:w="4320"/>
          </w:tcPr>
          <w:p>
            <w:r>
              <w:t>Signed discharge summary issued at discharge; acknowledgement of receipt with date and name.</w:t>
            </w:r>
          </w:p>
        </w:tc>
      </w:tr>
      <w:tr>
        <w:tc>
          <w:tcPr>
            <w:tcW w:type="dxa" w:w="4320"/>
          </w:tcPr>
          <w:p>
            <w:r>
              <w:t>Standardised content</w:t>
            </w:r>
          </w:p>
        </w:tc>
        <w:tc>
          <w:tcPr>
            <w:tcW w:type="dxa" w:w="4320"/>
          </w:tcPr>
          <w:p>
            <w:r>
              <w:t>Current standardised discharge-summary template; completed summaries with all minimum content fields.</w:t>
            </w:r>
          </w:p>
        </w:tc>
      </w:tr>
      <w:tr>
        <w:tc>
          <w:tcPr>
            <w:tcW w:type="dxa" w:w="4320"/>
          </w:tcPr>
          <w:p>
            <w:r>
              <w:t>Follow-up and medication instructions</w:t>
            </w:r>
          </w:p>
        </w:tc>
        <w:tc>
          <w:tcPr>
            <w:tcW w:type="dxa" w:w="4320"/>
          </w:tcPr>
          <w:p>
            <w:r>
              <w:t>Summaries with plain-language medication frequencies; equipment and wound-care instructions where applicable.</w:t>
            </w:r>
          </w:p>
        </w:tc>
      </w:tr>
      <w:tr>
        <w:tc>
          <w:tcPr>
            <w:tcW w:type="dxa" w:w="4320"/>
          </w:tcPr>
          <w:p>
            <w:r>
              <w:t>Urgent-care instructions</w:t>
            </w:r>
          </w:p>
        </w:tc>
        <w:tc>
          <w:tcPr>
            <w:tcW w:type="dxa" w:w="4320"/>
          </w:tcPr>
          <w:p>
            <w:r>
              <w:t>Urgent-care section specific to diagnosis/condition at discharge, with hospital or doctor contact.</w:t>
            </w:r>
          </w:p>
        </w:tc>
      </w:tr>
      <w:tr>
        <w:tc>
          <w:tcPr>
            <w:tcW w:type="dxa" w:w="4320"/>
          </w:tcPr>
          <w:p>
            <w:r>
              <w:t>Cause of death</w:t>
            </w:r>
          </w:p>
        </w:tc>
        <w:tc>
          <w:tcPr>
            <w:tcW w:type="dxa" w:w="4320"/>
          </w:tcPr>
          <w:p>
            <w:r>
              <w:t>Death summary stating cause of death; post-mortem documentation when required.</w:t>
            </w:r>
          </w:p>
        </w:tc>
      </w:tr>
    </w:tbl>
    <w:p>
      <w:pPr>
        <w:pStyle w:val="Heading1"/>
      </w:pPr>
      <w:r>
        <w:t>9. Training and staff acknowledgement</w:t>
      </w:r>
    </w:p>
    <w:p>
      <w:pPr/>
      <w:r>
        <w:t>All treating doctors and doctor members of treating teams shall be trained on the standardised discharge summary content, plain-language instruction requirements, and urgent-care instruction content in this policy, at induction and periodically.</w:t>
      </w:r>
    </w:p>
    <w:p>
      <w:pPr/>
      <w:r>
        <w:t>I have read the Policy on the Content of the Discharge Summary of «Hospital Name» and understand my responsibilities under it.</w:t>
      </w:r>
    </w:p>
    <w:p>
      <w:pPr>
        <w:pStyle w:val="Heading1"/>
      </w:pPr>
      <w:r>
        <w:t>10. Distribution</w:t>
      </w:r>
    </w:p>
    <w:p>
      <w:pPr/>
      <w:r>
        <w:t>This policy shall be available to all treating doctors, department heads, and the Quality Coordinator.</w:t>
      </w:r>
    </w:p>
    <w:p>
      <w:pPr>
        <w:pStyle w:val="Heading1"/>
      </w:pPr>
      <w:r>
        <w:t>11.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Abbreviation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CAPA</w:t>
            </w:r>
          </w:p>
        </w:tc>
        <w:tc>
          <w:tcPr>
            <w:tcW w:type="dxa" w:w="4320"/>
          </w:tcPr>
          <w:p>
            <w:r>
              <w:t>Corrective and Preventive Action</w:t>
            </w:r>
          </w:p>
        </w:tc>
      </w:tr>
      <w:tr>
        <w:tc>
          <w:tcPr>
            <w:tcW w:type="dxa" w:w="4320"/>
          </w:tcPr>
          <w:p>
            <w:r>
              <w:t>MLC</w:t>
            </w:r>
          </w:p>
        </w:tc>
        <w:tc>
          <w:tcPr>
            <w:tcW w:type="dxa" w:w="4320"/>
          </w:tcPr>
          <w:p>
            <w:r>
              <w:t>Medico-Legal Case</w:t>
            </w:r>
          </w:p>
        </w:tc>
      </w:tr>
      <w:tr>
        <w:tc>
          <w:tcPr>
            <w:tcW w:type="dxa" w:w="4320"/>
          </w:tcPr>
          <w:p>
            <w:r>
              <w:t>NABH</w:t>
            </w:r>
          </w:p>
        </w:tc>
        <w:tc>
          <w:tcPr>
            <w:tcW w:type="dxa" w:w="4320"/>
          </w:tcPr>
          <w:p>
            <w:r>
              <w:t>National Accreditation Board for Hospitals and Healthcare Providers</w:t>
            </w:r>
          </w:p>
        </w:tc>
      </w:tr>
    </w:tbl>
    <w:p>
      <w:pPr>
        <w:pStyle w:val="Heading1"/>
      </w:pPr>
      <w:r>
        <w:t>12. Traceability table</w:t>
      </w:r>
    </w:p>
    <w:p>
      <w:pPr/>
      <w:r>
        <w:t>This table is an index. It is not how the policy is organised. An asterisk in the Level column means the objective element is starred and requires documented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Objective Element</w:t>
            </w:r>
          </w:p>
        </w:tc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Traceability to this policy</w:t>
            </w:r>
          </w:p>
        </w:tc>
      </w:tr>
      <w:tr>
        <w:tc>
          <w:tcPr>
            <w:tcW w:type="dxa" w:w="2880"/>
          </w:tcPr>
          <w:p>
            <w:r>
              <w:t>AAC.13.a</w:t>
            </w:r>
          </w:p>
        </w:tc>
        <w:tc>
          <w:tcPr>
            <w:tcW w:type="dxa" w:w="2880"/>
          </w:tcPr>
          <w:p>
            <w:r>
              <w:t>Commitment</w:t>
            </w:r>
          </w:p>
        </w:tc>
        <w:tc>
          <w:tcPr>
            <w:tcW w:type="dxa" w:w="2880"/>
          </w:tcPr>
          <w:p>
            <w:r>
              <w:t>Sections 3 and 5.1 address provision and acknowledgement of the discharge summary.</w:t>
            </w:r>
          </w:p>
        </w:tc>
      </w:tr>
      <w:tr>
        <w:tc>
          <w:tcPr>
            <w:tcW w:type="dxa" w:w="2880"/>
          </w:tcPr>
          <w:p>
            <w:r>
              <w:t>AAC.13.b</w:t>
            </w:r>
          </w:p>
        </w:tc>
        <w:tc>
          <w:tcPr>
            <w:tcW w:type="dxa" w:w="2880"/>
          </w:tcPr>
          <w:p>
            <w:r>
              <w:t>Commitment</w:t>
            </w:r>
          </w:p>
        </w:tc>
        <w:tc>
          <w:tcPr>
            <w:tcW w:type="dxa" w:w="2880"/>
          </w:tcPr>
          <w:p>
            <w:r>
              <w:t>Sections 3 and 5.2 address standardised minimum content.</w:t>
            </w:r>
          </w:p>
        </w:tc>
      </w:tr>
      <w:tr>
        <w:tc>
          <w:tcPr>
            <w:tcW w:type="dxa" w:w="2880"/>
          </w:tcPr>
          <w:p>
            <w:r>
              <w:t>AAC.13.c</w:t>
            </w:r>
          </w:p>
        </w:tc>
        <w:tc>
          <w:tcPr>
            <w:tcW w:type="dxa" w:w="2880"/>
          </w:tcPr>
          <w:p>
            <w:r>
              <w:t>Commitment</w:t>
            </w:r>
          </w:p>
        </w:tc>
        <w:tc>
          <w:tcPr>
            <w:tcW w:type="dxa" w:w="2880"/>
          </w:tcPr>
          <w:p>
            <w:r>
              <w:t>Sections 3 and 5.3 address understandable follow-up and medication instructions.</w:t>
            </w:r>
          </w:p>
        </w:tc>
      </w:tr>
      <w:tr>
        <w:tc>
          <w:tcPr>
            <w:tcW w:type="dxa" w:w="2880"/>
          </w:tcPr>
          <w:p>
            <w:r>
              <w:t>AAC.13.d</w:t>
            </w:r>
          </w:p>
        </w:tc>
        <w:tc>
          <w:tcPr>
            <w:tcW w:type="dxa" w:w="2880"/>
          </w:tcPr>
          <w:p>
            <w:r>
              <w:t>Commitment</w:t>
            </w:r>
          </w:p>
        </w:tc>
        <w:tc>
          <w:tcPr>
            <w:tcW w:type="dxa" w:w="2880"/>
          </w:tcPr>
          <w:p>
            <w:r>
              <w:t>Sections 3 and 5.4 address urgent-care instructions.</w:t>
            </w:r>
          </w:p>
        </w:tc>
      </w:tr>
      <w:tr>
        <w:tc>
          <w:tcPr>
            <w:tcW w:type="dxa" w:w="2880"/>
          </w:tcPr>
          <w:p>
            <w:r>
              <w:t>AAC.13.e</w:t>
            </w:r>
          </w:p>
        </w:tc>
        <w:tc>
          <w:tcPr>
            <w:tcW w:type="dxa" w:w="2880"/>
          </w:tcPr>
          <w:p>
            <w:r>
              <w:t>Commitment</w:t>
            </w:r>
          </w:p>
        </w:tc>
        <w:tc>
          <w:tcPr>
            <w:tcW w:type="dxa" w:w="2880"/>
          </w:tcPr>
          <w:p>
            <w:r>
              <w:t>Sections 3 and 5.5 address cause of death in case of death.</w:t>
            </w:r>
          </w:p>
        </w:tc>
      </w:tr>
    </w:tbl>
    <w:p>
      <w:pPr>
        <w:pStyle w:val="Heading1"/>
      </w:pPr>
      <w:r>
        <w:t>13. Required records/evidence checklist</w:t>
      </w:r>
    </w:p>
    <w:p>
      <w:pPr>
        <w:pStyle w:val="Heading2"/>
      </w:pPr>
      <w:r>
        <w:t>Provision and acknowledgement — AAC.13.a (Commitment)</w:t>
      </w:r>
    </w:p>
    <w:p>
      <w:pPr>
        <w:pStyle w:val="ListBullet"/>
      </w:pPr>
      <w:r>
        <w:t>Signed discharge summary issued at discharge.</w:t>
      </w:r>
    </w:p>
    <w:p>
      <w:pPr>
        <w:pStyle w:val="ListBullet"/>
      </w:pPr>
      <w:r>
        <w:t>Acknowledgement of receipt by patient or family (with date and name).</w:t>
      </w:r>
    </w:p>
    <w:p>
      <w:pPr>
        <w:pStyle w:val="Heading2"/>
      </w:pPr>
      <w:r>
        <w:t>Standardised content — AAC.13.b (Commitment)</w:t>
      </w:r>
    </w:p>
    <w:p>
      <w:pPr>
        <w:pStyle w:val="ListBullet"/>
      </w:pPr>
      <w:r>
        <w:t>Current standardised discharge-summary template.</w:t>
      </w:r>
    </w:p>
    <w:p>
      <w:pPr>
        <w:pStyle w:val="ListBullet"/>
      </w:pPr>
      <w:r>
        <w:t>Completed summaries with all minimum content fields.</w:t>
      </w:r>
    </w:p>
    <w:p>
      <w:pPr>
        <w:pStyle w:val="Heading2"/>
      </w:pPr>
      <w:r>
        <w:t>Follow-up and medication instructions — AAC.13.c (Commitment)</w:t>
      </w:r>
    </w:p>
    <w:p>
      <w:pPr>
        <w:pStyle w:val="ListBullet"/>
      </w:pPr>
      <w:r>
        <w:t>Summaries with plain-language medication frequencies.</w:t>
      </w:r>
    </w:p>
    <w:p>
      <w:pPr>
        <w:pStyle w:val="ListBullet"/>
      </w:pPr>
      <w:r>
        <w:t>Equipment and wound-care instructions where applicable.</w:t>
      </w:r>
    </w:p>
    <w:p>
      <w:pPr>
        <w:pStyle w:val="Heading2"/>
      </w:pPr>
      <w:r>
        <w:t>Urgent-care instructions — AAC.13.d (Commitment)</w:t>
      </w:r>
    </w:p>
    <w:p>
      <w:pPr>
        <w:pStyle w:val="ListBullet"/>
      </w:pPr>
      <w:r>
        <w:t>Urgent-care section specific to diagnosis/condition at discharge, with hospital or doctor contact.</w:t>
      </w:r>
    </w:p>
    <w:p>
      <w:pPr>
        <w:pStyle w:val="ListBullet"/>
      </w:pPr>
      <w:r>
        <w:t>Record of explanation to patient/relatives.</w:t>
      </w:r>
    </w:p>
    <w:p>
      <w:pPr>
        <w:pStyle w:val="Heading2"/>
      </w:pPr>
      <w:r>
        <w:t>Cause of death — AAC.13.e (Commitment)</w:t>
      </w:r>
    </w:p>
    <w:p>
      <w:pPr>
        <w:pStyle w:val="ListBullet"/>
      </w:pPr>
      <w:r>
        <w:t>Death summary stating cause of death.</w:t>
      </w:r>
    </w:p>
    <w:p>
      <w:pPr>
        <w:pStyle w:val="ListBullet"/>
      </w:pPr>
      <w:r>
        <w:t>Post-mortem documentation when cause is unclear or MLC.</w:t>
      </w:r>
    </w:p>
    <w:p>
      <w:pPr>
        <w:pStyle w:val="Heading1"/>
      </w:pPr>
      <w:r>
        <w:t>14. References</w:t>
      </w:r>
    </w:p>
    <w:p>
      <w:pPr>
        <w:pStyle w:val="ListNumber"/>
      </w:pPr>
      <w:r>
        <w:t>National Accreditation Board for Hospitals and Healthcare Providers. NABH Accreditation Standards for Hospitals, 6th Edition. AAC.13.</w:t>
      </w:r>
    </w:p>
    <w:p>
      <w:pPr>
        <w:pStyle w:val="ListNumber"/>
      </w:pPr>
      <w:r>
        <w:t>Guidebook interpretation supplied for AAC.13.a through AAC.13.e.</w:t>
      </w:r>
    </w:p>
    <w:p>
      <w:pPr>
        <w:pStyle w:val="Heading1"/>
      </w:pPr>
      <w:r>
        <w:t>Disclaimer</w:t>
      </w:r>
    </w:p>
    <w:p>
      <w:pPr/>
      <w:r>
        <w:t>This policy reorganises the supplied AAC.13 objective-element wording and Guidebook interpretation into plain-language guidance for «Hospital Name». It does not replace the NABH Accreditation Standards for Hospitals, 6th Edition, or the Guidebook, which remain the authoritative source in case of any conflict.</w:t>
      </w:r>
    </w:p>
    <w:p>
      <w:pPr/>
      <w:r>
        <w:t>This policy is intended for accreditation and internal governance purposes and is not a statement of, or substitute for, compliance with any specific statute; «Hospital Name» remains separately responsible for meeting all applicable statutory and regulatory requirements, including medico-legal reporting obligations.</w:t>
      </w:r>
    </w:p>
    <w:p>
      <w:pPr/>
      <w:r>
        <w:t>This policy shall be reviewed at least once every year, or earlier if NABH standards change.</w:t>
      </w:r>
    </w:p>
    <w:p>
      <w:pPr/>
      <w:r>
        <w:t>This policy is the property of «Hospital Name» and is not to be reproduced or distributed outside the organisation without authorisation.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