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Fire and Non-Fire Emergencies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plans for fire and non-fire emergencies within the facilities.</w:t>
      </w:r>
    </w:p>
    <w:p>
      <w:pPr>
        <w:pStyle w:val="Heading1"/>
      </w:pPr>
      <w:r>
        <w:t>1. Purpose</w:t>
      </w:r>
    </w:p>
    <w:p>
      <w:pPr/>
      <w:r>
        <w:t>This policy defines how «Hospital Name» plans and maintains provisions for fire and non-fire emergencies — including fire detection, abatement, containment and evacuation; non-fire emergency identification and management; displayed exit plans; regular mock drills; and maintenance of fire-related equipment and infrastructure.</w:t>
      </w:r>
    </w:p>
    <w:p>
      <w:pPr/>
      <w:r>
        <w:t>This policy covers fire and non-fire emergencies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fire and non-fire emergencies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«Hospital Name» has implemented fire plans covering detection, abatement, containment and evacuation, with qualified personnel and current NABH fire-safety measures. Non-fire emergencies are identified and planned for, with NDMA/State/District guidelines as a reference. Exit plans are documented and displayed on every floor. Mock drills are held at least twice a year. Fire-related equipment and infrastructure are maintained under an active plan.</w:t>
      </w:r>
    </w:p>
    <w:p>
      <w:pPr/>
      <w:r>
        <w:t>Staff follow written guidance and keep the records listed in the traceability table.</w:t>
      </w:r>
    </w:p>
    <w:p>
      <w:pPr>
        <w:pStyle w:val="Heading1"/>
      </w:pPr>
      <w:r>
        <w:t>4. Non-negotiable rules</w:t>
      </w:r>
    </w:p>
    <w:p>
      <w:pPr>
        <w:pStyle w:val="ListNumber"/>
      </w:pPr>
      <w:r>
        <w:t>Do not occupy a patient-care floor without an implemented fire plan covering detection, abatement, containment and evacuation — with qualified personnel, current NABH fire-safety measures, smoke-control provisions and emergency illumination in place.</w:t>
      </w:r>
    </w:p>
    <w:p>
      <w:pPr>
        <w:pStyle w:val="ListNumber"/>
      </w:pPr>
      <w:r>
        <w:t>Do not occupy a patient-care floor without a documented and displayed exit plan on that floor, including near lifts and inside enclosed rooms and laboratories; exit doors must remain open or have push bars.</w:t>
      </w:r>
    </w:p>
    <w:p>
      <w:pPr>
        <w:pStyle w:val="ListNumber"/>
      </w:pPr>
      <w:r>
        <w:t>Do not operate without written plans for the non-fire emergencies this hospital has identified (at minimum earthquake, flood, structural collapse, utility failure and toxic leak), developed with reference to NDMA/State/District guidelines.</w:t>
      </w:r>
    </w:p>
    <w:p>
      <w:pPr>
        <w:pStyle w:val="ListNumber"/>
      </w:pPr>
      <w:r>
        <w:t>Do not let six months pass without at least one mock drill testing the full fire or non-fire emergency plan; each drill uses simulated, not real, patients and is followed by a debrief and corrective action.</w:t>
      </w:r>
    </w:p>
    <w:p>
      <w:pPr>
        <w:pStyle w:val="ListNumber"/>
      </w:pPr>
      <w:r>
        <w:t>Do not operate fire-related equipment and infrastructure without an implemented maintenance plan covering inspection, testing, preventive and breakdown maintenance.</w:t>
      </w:r>
    </w:p>
    <w:p>
      <w:pPr>
        <w:pStyle w:val="ListNumber"/>
      </w:pPr>
      <w:r>
        <w:t>Do not bypass the stop-work authority in section 6 when the trigger conditions are met.</w:t>
      </w:r>
    </w:p>
    <w:p>
      <w:pPr>
        <w:pStyle w:val="ListNumber"/>
      </w:pPr>
      <w:r>
        <w:t>Staff who see a FMS.7 rule broken report it the same shift to the Engineering In-Charge or the Medical Superintendent.</w:t>
      </w:r>
    </w:p>
    <w:p>
      <w:pPr>
        <w:pStyle w:val="Heading1"/>
      </w:pPr>
      <w:r>
        <w:t>5. What we do</w:t>
      </w:r>
    </w:p>
    <w:p>
      <w:pPr>
        <w:pStyle w:val="Heading2"/>
      </w:pPr>
      <w:r>
        <w:t>5.1 The organisation has plans and provisions for early detection...</w:t>
      </w:r>
    </w:p>
    <w:p>
      <w:pPr/>
      <w:r>
        <w:t>«Hospital Name» has plans and provisions for early detection, abatement, containment of fire and evacuation: a fire plan (inflammable items, explosion, short-circuit, negligence or incompetence), qualified personnel, current NABH minimum fire-safety measures, smoke control, training, mock-drill schedules including table-top, drill records, displayed exits, evacuation of patients, staff and visitors, and emergency illumination. The hospital establishes liaison with civil and police authorities and the fire brigade as required by law.</w:t>
      </w:r>
    </w:p>
    <w:p>
      <w:pPr/>
      <w:r>
        <w:t>Occupying a patient-care floor without required detection, abatement or evacuation provision is a stop-work trigger (section 6).</w:t>
      </w:r>
    </w:p>
    <w:p>
      <w:pPr>
        <w:pStyle w:val="Heading2"/>
      </w:pPr>
      <w:r>
        <w:t>5.2 The organisation has plans and provisions for identification, and...</w:t>
      </w:r>
    </w:p>
    <w:p>
      <w:pPr/>
      <w:r>
        <w:t>The organisation has plans and provisions for identification and management of non-fire emergencies (examples the Guidebook names include earthquake, flood, toxic leak, structural collapse, utility failure, boiler burst, violence, stray animals). National Disaster Management Authority / State / District guidelines are referred to. Liaison with civil, police and fire authorities is as required by law.</w:t>
      </w:r>
    </w:p>
    <w:p>
      <w:pPr/>
      <w:r>
        <w:t>Portal wording “identification, and management” is kept as printed.</w:t>
      </w:r>
    </w:p>
    <w:p>
      <w:pPr>
        <w:pStyle w:val="Heading2"/>
      </w:pPr>
      <w:r>
        <w:t>5.3 The organisation has a documented and displayed exit plan in case of...</w:t>
      </w:r>
    </w:p>
    <w:p>
      <w:pPr/>
      <w:r>
        <w:t>A documented exit plan is displayed on each floor, especially near lifts and inside enclosed rooms and laboratories. Exit doors remain open or have push bars. Fire signage follows the fire service and/or National Building Code. Refuge areas are signed and maintained where they apply.</w:t>
      </w:r>
    </w:p>
    <w:p>
      <w:pPr/>
      <w:r>
        <w:t>A patient-care floor with no displayed exit plan is a stop-work trigger (section 6).</w:t>
      </w:r>
    </w:p>
    <w:p>
      <w:pPr>
        <w:pStyle w:val="Heading2"/>
      </w:pPr>
      <w:r>
        <w:t>5.4 Mock drills are held at least twice a year</w:t>
      </w:r>
    </w:p>
    <w:p>
      <w:pPr/>
      <w:r>
        <w:t>Mock drills are held at least twice a year (minimum; more often if this hospital defines). This covers fire and the important non-fire events this hospital names. A table-top exercise or a mock drill may be used; at a minimum one mock drill every six months tests the whole plan, not only awareness. Simulated patients, not real patients, are used. Variations are debriefed and corrected.</w:t>
      </w:r>
    </w:p>
    <w:p>
      <w:pPr/>
      <w:r>
        <w:t>A year with fewer than two drills is a gap under this element.</w:t>
      </w:r>
    </w:p>
    <w:p>
      <w:pPr>
        <w:pStyle w:val="Heading2"/>
      </w:pPr>
      <w:r>
        <w:t>5.5 There is a maintenance plan for fire-related equipment and...</w:t>
      </w:r>
    </w:p>
    <w:p>
      <w:pPr/>
      <w:r>
        <w:t>There is a maintenance plan for fire-related equipment and infrastructure: inspection, testing, preventive and breakdown maintenance, following the manufacturer and applicable statutory recommendations.</w:t>
      </w:r>
    </w:p>
    <w:p>
      <w:pPr/>
      <w:r>
        <w:t>The Engineering In-Charge holds the plan and last service evidence.</w:t>
      </w:r>
    </w:p>
    <w:p>
      <w:pPr>
        <w:pStyle w:val="Heading1"/>
      </w:pPr>
      <w:r>
        <w:t>6. Stop-work authority</w:t>
      </w:r>
    </w:p>
    <w:p>
      <w:pPr/>
      <w:r>
        <w:t>Do not occupy a patient-care floor when required fire detection, abatement or evacuation provision is not in place, or when the exit plan for that floor is not displayed.</w:t>
      </w:r>
    </w:p>
    <w:p>
      <w:pPr/>
      <w:r>
        <w:t>Stop-work applies to placing or keeping patients on that floor as a planned location of care. Immediate life-saving evacuation and life-saving care continue.</w:t>
      </w:r>
    </w:p>
    <w:p>
      <w:pPr/>
      <w:r>
        <w:t>The person who stops tells the Engineering In-Charge and the Medical Superintendent the same shift. Refusing to occupy an unprotected floor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FMS.7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Fire and Non-Fire Emergencies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Medical Superintendent; Engineering In-Charge; Quality Coordinator; departmental leaders; staff covered by FMS.7</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12. Traceability to NABH HCO Full Accreditation 6th Edition FMS.7</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FMS.7.a</w:t>
            </w:r>
          </w:p>
        </w:tc>
        <w:tc>
          <w:tcPr>
            <w:tcW w:type="dxa" w:w="1728"/>
          </w:tcPr>
          <w:p>
            <w:r>
              <w:t>CORE*</w:t>
            </w:r>
          </w:p>
        </w:tc>
        <w:tc>
          <w:tcPr>
            <w:tcW w:type="dxa" w:w="1728"/>
          </w:tcPr>
          <w:p>
            <w:r>
              <w:t>The organisation has plans and provisions for early detection, abatement, containment of fire and evacuation in the event of fire emergencies.</w:t>
            </w:r>
          </w:p>
        </w:tc>
        <w:tc>
          <w:tcPr>
            <w:tcW w:type="dxa" w:w="1728"/>
          </w:tcPr>
          <w:p>
            <w:r>
              <w:t>Section 3; 5.1; Section 6 Stop-work</w:t>
            </w:r>
          </w:p>
        </w:tc>
        <w:tc>
          <w:tcPr>
            <w:tcW w:type="dxa" w:w="1728"/>
          </w:tcPr>
          <w:p>
            <w:r>
              <w:t>Engineering In-Charge</w:t>
            </w:r>
          </w:p>
        </w:tc>
      </w:tr>
      <w:tr>
        <w:tc>
          <w:tcPr>
            <w:tcW w:type="dxa" w:w="1728"/>
          </w:tcPr>
          <w:p>
            <w:r>
              <w:t>FMS.7.b</w:t>
            </w:r>
          </w:p>
        </w:tc>
        <w:tc>
          <w:tcPr>
            <w:tcW w:type="dxa" w:w="1728"/>
          </w:tcPr>
          <w:p>
            <w:r>
              <w:t>CORE*</w:t>
            </w:r>
          </w:p>
        </w:tc>
        <w:tc>
          <w:tcPr>
            <w:tcW w:type="dxa" w:w="1728"/>
          </w:tcPr>
          <w:p>
            <w:r>
              <w:t>The organisation has plans and provisions for identification, and management of non-fire emergencies.</w:t>
            </w:r>
          </w:p>
        </w:tc>
        <w:tc>
          <w:tcPr>
            <w:tcW w:type="dxa" w:w="1728"/>
          </w:tcPr>
          <w:p>
            <w:r>
              <w:t>Section 3; 5.2</w:t>
            </w:r>
          </w:p>
        </w:tc>
        <w:tc>
          <w:tcPr>
            <w:tcW w:type="dxa" w:w="1728"/>
          </w:tcPr>
          <w:p>
            <w:r>
              <w:t>Engineering In-Charge</w:t>
            </w:r>
          </w:p>
        </w:tc>
      </w:tr>
      <w:tr>
        <w:tc>
          <w:tcPr>
            <w:tcW w:type="dxa" w:w="1728"/>
          </w:tcPr>
          <w:p>
            <w:r>
              <w:t>FMS.7.c</w:t>
            </w:r>
          </w:p>
        </w:tc>
        <w:tc>
          <w:tcPr>
            <w:tcW w:type="dxa" w:w="1728"/>
          </w:tcPr>
          <w:p>
            <w:r>
              <w:t>Commitment</w:t>
            </w:r>
          </w:p>
        </w:tc>
        <w:tc>
          <w:tcPr>
            <w:tcW w:type="dxa" w:w="1728"/>
          </w:tcPr>
          <w:p>
            <w:r>
              <w:t>The organisation has a documented and displayed exit plan in case of fire and non-fire emergencies.</w:t>
            </w:r>
          </w:p>
        </w:tc>
        <w:tc>
          <w:tcPr>
            <w:tcW w:type="dxa" w:w="1728"/>
          </w:tcPr>
          <w:p>
            <w:r>
              <w:t>Section 3; 5.3; Section 6 Stop-work</w:t>
            </w:r>
          </w:p>
        </w:tc>
        <w:tc>
          <w:tcPr>
            <w:tcW w:type="dxa" w:w="1728"/>
          </w:tcPr>
          <w:p>
            <w:r>
              <w:t>Engineering In-Charge</w:t>
            </w:r>
          </w:p>
        </w:tc>
      </w:tr>
      <w:tr>
        <w:tc>
          <w:tcPr>
            <w:tcW w:type="dxa" w:w="1728"/>
          </w:tcPr>
          <w:p>
            <w:r>
              <w:t>FMS.7.d</w:t>
            </w:r>
          </w:p>
        </w:tc>
        <w:tc>
          <w:tcPr>
            <w:tcW w:type="dxa" w:w="1728"/>
          </w:tcPr>
          <w:p>
            <w:r>
              <w:t>Commitment</w:t>
            </w:r>
          </w:p>
        </w:tc>
        <w:tc>
          <w:tcPr>
            <w:tcW w:type="dxa" w:w="1728"/>
          </w:tcPr>
          <w:p>
            <w:r>
              <w:t>Mock drills are held at least twice a year.</w:t>
            </w:r>
          </w:p>
        </w:tc>
        <w:tc>
          <w:tcPr>
            <w:tcW w:type="dxa" w:w="1728"/>
          </w:tcPr>
          <w:p>
            <w:r>
              <w:t>Section 3; 5.4</w:t>
            </w:r>
          </w:p>
        </w:tc>
        <w:tc>
          <w:tcPr>
            <w:tcW w:type="dxa" w:w="1728"/>
          </w:tcPr>
          <w:p>
            <w:r>
              <w:t>Engineering In-Charge</w:t>
            </w:r>
          </w:p>
        </w:tc>
      </w:tr>
      <w:tr>
        <w:tc>
          <w:tcPr>
            <w:tcW w:type="dxa" w:w="1728"/>
          </w:tcPr>
          <w:p>
            <w:r>
              <w:t>FMS.7.e</w:t>
            </w:r>
          </w:p>
        </w:tc>
        <w:tc>
          <w:tcPr>
            <w:tcW w:type="dxa" w:w="1728"/>
          </w:tcPr>
          <w:p>
            <w:r>
              <w:t>Commitment*</w:t>
            </w:r>
          </w:p>
        </w:tc>
        <w:tc>
          <w:tcPr>
            <w:tcW w:type="dxa" w:w="1728"/>
          </w:tcPr>
          <w:p>
            <w:r>
              <w:t>There is a maintenance plan for fire-related equipment and infrastructure.</w:t>
            </w:r>
          </w:p>
        </w:tc>
        <w:tc>
          <w:tcPr>
            <w:tcW w:type="dxa" w:w="1728"/>
          </w:tcPr>
          <w:p>
            <w:r>
              <w:t>Section 3; 5.5</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FMS.7.a — The organisation has plans and provisions for early detection, abatement, containment of fire and evacuation in the event of fire emergencies.</w:t>
      </w:r>
    </w:p>
    <w:p>
      <w:pPr>
        <w:pStyle w:val="ListBullet"/>
      </w:pPr>
      <w:r>
        <w:t>Written fire-safety plan covering detection, abatement, containment and evacuation, naming qualified personnel and current NABH minimum fire-safety measures.</w:t>
      </w:r>
    </w:p>
    <w:p>
      <w:pPr>
        <w:pStyle w:val="ListBullet"/>
      </w:pPr>
      <w:r>
        <w:t>Mock-drill schedule and drill record, including table-top exercises.</w:t>
      </w:r>
    </w:p>
    <w:p>
      <w:pPr>
        <w:pStyle w:val="ListBullet"/>
      </w:pPr>
      <w:r>
        <w:t>Displayed evacuation plan and emergency-illumination check record.</w:t>
      </w:r>
    </w:p>
    <w:p>
      <w:pPr>
        <w:pStyle w:val="Heading2"/>
      </w:pPr>
      <w:r>
        <w:t>FMS.7.b — The organisation has plans and provisions for identification, and management of non-fire emergencies.</w:t>
      </w:r>
    </w:p>
    <w:p>
      <w:pPr>
        <w:pStyle w:val="ListBullet"/>
      </w:pPr>
      <w:r>
        <w:t>Written non-fire-emergency plan (for example earthquake, flood, toxic leak, structural collapse, utility failure, boiler burst, violence, stray animals).</w:t>
      </w:r>
    </w:p>
    <w:p>
      <w:pPr>
        <w:pStyle w:val="ListBullet"/>
      </w:pPr>
      <w:r>
        <w:t>NDMA, State or District guideline reference used.</w:t>
      </w:r>
    </w:p>
    <w:p>
      <w:pPr>
        <w:pStyle w:val="ListBullet"/>
      </w:pPr>
      <w:r>
        <w:t>Liaison record with civil, police and fire authorities.</w:t>
      </w:r>
    </w:p>
    <w:p>
      <w:pPr>
        <w:pStyle w:val="Heading2"/>
      </w:pPr>
      <w:r>
        <w:t>FMS.7.c — The organisation has a documented and displayed exit plan in case of fire and non-fire emergencies.</w:t>
      </w:r>
    </w:p>
    <w:p>
      <w:pPr>
        <w:pStyle w:val="ListBullet"/>
      </w:pPr>
      <w:r>
        <w:t>Exit plan displayed on each floor, near lifts and inside enclosed rooms and laboratories.</w:t>
      </w:r>
    </w:p>
    <w:p>
      <w:pPr>
        <w:pStyle w:val="ListBullet"/>
      </w:pPr>
      <w:r>
        <w:t>Exit-door check record (open or push-bar) and fire-signage reference (fire service or National Building Code).</w:t>
      </w:r>
    </w:p>
    <w:p>
      <w:pPr>
        <w:pStyle w:val="ListBullet"/>
      </w:pPr>
      <w:r>
        <w:t>Refuge-area signage and maintenance record, where applicable.</w:t>
      </w:r>
    </w:p>
    <w:p>
      <w:pPr>
        <w:pStyle w:val="Heading2"/>
      </w:pPr>
      <w:r>
        <w:t>FMS.7.d — Mock drills are held at least twice a year.</w:t>
      </w:r>
    </w:p>
    <w:p>
      <w:pPr>
        <w:pStyle w:val="ListBullet"/>
      </w:pPr>
      <w:r>
        <w:t>Mock-drill record showing at least two drills a year covering fire and the named non-fire events.</w:t>
      </w:r>
    </w:p>
    <w:p>
      <w:pPr>
        <w:pStyle w:val="ListBullet"/>
      </w:pPr>
      <w:r>
        <w:t>Debrief and corrective-action record for variations found.</w:t>
      </w:r>
    </w:p>
    <w:p>
      <w:pPr>
        <w:pStyle w:val="ListBullet"/>
      </w:pPr>
      <w:r>
        <w:t>Confirmation that simulated, not real, patients were used.</w:t>
      </w:r>
    </w:p>
    <w:p>
      <w:pPr>
        <w:pStyle w:val="Heading2"/>
      </w:pPr>
      <w:r>
        <w:t>FMS.7.e — There is a maintenance plan for fire-related equipment and infrastructure.</w:t>
      </w:r>
    </w:p>
    <w:p>
      <w:pPr>
        <w:pStyle w:val="ListBullet"/>
      </w:pPr>
      <w:r>
        <w:t>Written maintenance plan for fire-related equipment and infrastructure.</w:t>
      </w:r>
    </w:p>
    <w:p>
      <w:pPr>
        <w:pStyle w:val="ListBullet"/>
      </w:pPr>
      <w:r>
        <w:t>Inspection, testing, preventive and breakdown maintenance log following manufacturer and statutory recommendations.</w:t>
      </w:r>
    </w:p>
    <w:p>
      <w:pPr>
        <w:pStyle w:val="ListBullet"/>
      </w:pPr>
      <w:r>
        <w:t>Last-service evidence on file.</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FMS.7.</w:t>
      </w:r>
    </w:p>
    <w:p>
      <w:pPr>
        <w:pStyle w:val="ListBullet"/>
      </w:pPr>
      <w:r>
        <w:t>NABH Guidebook to Accreditation Standards for Hospitals, 6th Edition — FMS.7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