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Medical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HCO/HRM/POL/11</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medical professionals permitted to provide patient care without supervision, so that only identified, qualified, and privileged professionals provide unsupervised care.</w:t>
      </w:r>
    </w:p>
    <w:p>
      <w:pPr>
        <w:pStyle w:val="Heading1"/>
      </w:pPr>
      <w:r>
        <w:t>1. Purpose</w:t>
      </w:r>
    </w:p>
    <w:p>
      <w:pPr/>
      <w:r>
        <w:t>This policy sets out how «Hospital Name» identifies medical professionals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 The other HRM standards have their own policies too.</w:t>
      </w:r>
    </w:p>
    <w:p>
      <w:pPr>
        <w:pStyle w:val="Heading1"/>
      </w:pPr>
      <w:r>
        <w:t>2. Scope</w:t>
      </w:r>
    </w:p>
    <w:p>
      <w:pPr/>
      <w:r>
        <w:t>This policy applies to all medical professionals at «Hospital Name» permitted by law, regulation and the organisation to provide patient care without supervision.</w:t>
      </w:r>
    </w:p>
    <w:p>
      <w:pPr>
        <w:pStyle w:val="Heading1"/>
      </w:pPr>
      <w:r>
        <w:t>3. Policy standards</w:t>
      </w:r>
    </w:p>
    <w:p>
      <w:pPr/>
      <w:r>
        <w:t>«Hospital Name» identifies medical professionals permitted to provide patient care without supervision.</w:t>
      </w:r>
    </w:p>
    <w:p>
      <w:pPr/>
      <w:r>
        <w:t>«Hospital Name» documents and periodically updates the education, registration, training and experience of identified medical professionals.</w:t>
      </w:r>
    </w:p>
    <w:p>
      <w:pPr/>
      <w:r>
        <w:t>«Hospital Name» verifies information about medical professionals when possible.</w:t>
      </w:r>
    </w:p>
    <w:p>
      <w:pPr/>
      <w:r>
        <w:t>«Hospital Name» grants medical professionals privileges to admit and care for patients in consonance with their qualification, training, experience and registration, reviewed at least annually.</w:t>
      </w:r>
    </w:p>
    <w:p>
      <w:pPr/>
      <w:r>
        <w:t>«Hospital Name» ensures the requisite services a medical professional is authorised to provide are known to that professional and to relevant departments.</w:t>
      </w:r>
    </w:p>
    <w:p>
      <w:pPr/>
      <w:r>
        <w:t>«Hospital Name» ensures medical professionals admit and care for patients as per their privileging.</w:t>
      </w:r>
    </w:p>
    <w:p>
      <w:pPr>
        <w:pStyle w:val="Heading1"/>
      </w:pPr>
      <w:r>
        <w:t>4. Non-negotiable rules</w:t>
      </w:r>
    </w:p>
    <w:p>
      <w:pPr>
        <w:pStyle w:val="ListNumber"/>
      </w:pPr>
      <w:r>
        <w:t>Do not let a medical professional provide unsupervised patient care without first identifying them on the permitted list.</w:t>
      </w:r>
    </w:p>
    <w:p>
      <w:pPr>
        <w:pStyle w:val="ListNumber"/>
      </w:pPr>
      <w:r>
        <w:t>Do not leave a medical professional's education, registration, training or experience undocumented or out of date.</w:t>
      </w:r>
    </w:p>
    <w:p>
      <w:pPr>
        <w:pStyle w:val="ListNumber"/>
      </w:pPr>
      <w:r>
        <w:t>Do not skip verifying a medical professional's credentials with the awarding organisation when possible.</w:t>
      </w:r>
    </w:p>
    <w:p>
      <w:pPr>
        <w:pStyle w:val="ListNumber"/>
      </w:pPr>
      <w:r>
        <w:t>Do not grant or allow privileges that are not in consonance with a medical professional's qualification, training, experience and registration.</w:t>
      </w:r>
    </w:p>
    <w:p>
      <w:pPr>
        <w:pStyle w:val="ListNumber"/>
      </w:pPr>
      <w:r>
        <w:t>Do not leave a medical professional or the relevant departments unaware of the services that professional is authorised to provide.</w:t>
      </w:r>
    </w:p>
    <w:p>
      <w:pPr>
        <w:pStyle w:val="ListNumber"/>
      </w:pPr>
      <w:r>
        <w:t>Do not let a medical professional admit or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medical professionals permitted by law, regulation and the organisation to provide patient care without supervision — individuals with the required qualification(s), training and experience, in consonance with the law. Providing unsupervised care outside this identified list is a stop-work trigger (Section 6).</w:t>
      </w:r>
    </w:p>
    <w:p>
      <w:pPr>
        <w:pStyle w:val="Heading2"/>
      </w:pPr>
      <w:r>
        <w:t>5.2 Credential documentation</w:t>
      </w:r>
    </w:p>
    <w:p>
      <w:pPr/>
      <w:r>
        <w:t>The education, registration, training and experience of identified medical professionals at «Hospital Name» are documented and updated periodically — after acquisition of new skills or qualification — and maintained in each professional's personal file.</w:t>
      </w:r>
    </w:p>
    <w:p>
      <w:pPr>
        <w:pStyle w:val="Heading2"/>
      </w:pPr>
      <w:r>
        <w:t>5.3 Credential verification</w:t>
      </w:r>
    </w:p>
    <w:p>
      <w:pPr/>
      <w:r>
        <w:t>Information about medical professionals at «Hospital Name» is appropriately verified when possible, by checking with the organisation that awarded the qualification or training. The National Medical Commission's website is a useful reference for verification.</w:t>
      </w:r>
    </w:p>
    <w:p>
      <w:pPr>
        <w:pStyle w:val="Heading2"/>
      </w:pPr>
      <w:r>
        <w:t>5.4 Granting of privileges</w:t>
      </w:r>
    </w:p>
    <w:p>
      <w:pPr/>
      <w:r>
        <w:t>«Hospital Name» grants medical professionals privileges to admit and care for patients in consonance with their qualification, training, experience and registration — identifying the clinical services each is authorised to perform (for example, radiotherapy only by a radiation oncologist). Privileges are reviewed at least annually and revised where necessary. Granting or exercising privileges outside this record is a stop-work trigger (Section 6).</w:t>
      </w:r>
    </w:p>
    <w:p>
      <w:pPr>
        <w:pStyle w:val="Heading2"/>
      </w:pPr>
      <w:r>
        <w:t>5.5 Communication of privileges</w:t>
      </w:r>
    </w:p>
    <w:p>
      <w:pPr/>
      <w:r>
        <w:t>The requisite services a medical professional at «Hospital Name» is authorised to provide are known to that professional and to the relevant departments — for example OP consultation rights, admission rights and rights to specific procedures or surgeries (inclusion or exclusion). Concerned departments (for example, front desk for admission rights, the operation theatre for surgical rights) are informed of the relevant privileging.</w:t>
      </w:r>
    </w:p>
    <w:p>
      <w:pPr>
        <w:pStyle w:val="Heading2"/>
      </w:pPr>
      <w:r>
        <w:t>5.6 Practising within privileges</w:t>
      </w:r>
    </w:p>
    <w:p>
      <w:pPr/>
      <w:r>
        <w:t>Medical professionals at «Hospital Name» admit and care for patients as per their privileging, using a standardised format applied uniformly. New faculty may work under proctorship until independent privileges are granted; the hospital maintains a mechanism confirming professionals provide only the services they are privileged for.</w:t>
      </w:r>
    </w:p>
    <w:p>
      <w:pPr>
        <w:pStyle w:val="Heading1"/>
      </w:pPr>
      <w:r>
        <w:t>6. Stop-work authority</w:t>
      </w:r>
    </w:p>
    <w:p>
      <w:pPr/>
      <w:r>
        <w:t>Do not let a medical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Credentialing Committee</w:t>
            </w:r>
          </w:p>
        </w:tc>
        <w:tc>
          <w:tcPr>
            <w:tcW w:type="dxa" w:w="4320"/>
          </w:tcPr>
          <w:p>
            <w:r>
              <w:t>Reviews credentials and grants privileges; conducts the annual privilege review.</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medical professional providing unsupervised care outside the identified or privileged list.</w:t>
            </w:r>
          </w:p>
        </w:tc>
      </w:tr>
    </w:tbl>
    <w:p>
      <w:pPr>
        <w:pStyle w:val="Heading1"/>
      </w:pPr>
      <w:r>
        <w:t>8. Quality monitoring</w:t>
      </w:r>
    </w:p>
    <w:p>
      <w:pPr/>
      <w:r>
        <w:t>The HR In-Charge / Personnel Officer reviews credentialing files to confirm every medical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Medical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Medical Superintendent's office;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NMC</w:t>
            </w:r>
          </w:p>
        </w:tc>
        <w:tc>
          <w:tcPr>
            <w:tcW w:type="dxa" w:w="4320"/>
          </w:tcPr>
          <w:p>
            <w:r>
              <w:t>National Medical Commission</w:t>
            </w:r>
          </w:p>
        </w:tc>
      </w:tr>
    </w:tbl>
    <w:p>
      <w:pPr>
        <w:pStyle w:val="Heading1"/>
      </w:pPr>
      <w:r>
        <w:t>12. Traceability to NABH HCO Full Accreditation 6th Edition HRM.11</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HRM.11.a</w:t>
            </w:r>
          </w:p>
        </w:tc>
        <w:tc>
          <w:tcPr>
            <w:tcW w:type="dxa" w:w="2160"/>
          </w:tcPr>
          <w:p>
            <w:r>
              <w:t>CORE</w:t>
            </w:r>
          </w:p>
        </w:tc>
        <w:tc>
          <w:tcPr>
            <w:tcW w:type="dxa" w:w="2160"/>
          </w:tcPr>
          <w:p>
            <w:r>
              <w:t>Section 3; 5.1; Section 6 Stop-work</w:t>
            </w:r>
          </w:p>
        </w:tc>
        <w:tc>
          <w:tcPr>
            <w:tcW w:type="dxa" w:w="2160"/>
          </w:tcPr>
          <w:p>
            <w:r>
              <w:t>HR In-Charge / Personnel Officer</w:t>
            </w:r>
          </w:p>
        </w:tc>
      </w:tr>
      <w:tr>
        <w:tc>
          <w:tcPr>
            <w:tcW w:type="dxa" w:w="2160"/>
          </w:tcPr>
          <w:p>
            <w:r>
              <w:t>HRM.11.b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HRM.11.c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HRM.11.d</w:t>
            </w:r>
          </w:p>
        </w:tc>
        <w:tc>
          <w:tcPr>
            <w:tcW w:type="dxa" w:w="2160"/>
          </w:tcPr>
          <w:p>
            <w:r>
              <w:t>CORE</w:t>
            </w:r>
          </w:p>
        </w:tc>
        <w:tc>
          <w:tcPr>
            <w:tcW w:type="dxa" w:w="2160"/>
          </w:tcPr>
          <w:p>
            <w:r>
              <w:t>Section 3; 5.4; Section 6 Stop-work</w:t>
            </w:r>
          </w:p>
        </w:tc>
        <w:tc>
          <w:tcPr>
            <w:tcW w:type="dxa" w:w="2160"/>
          </w:tcPr>
          <w:p>
            <w:r>
              <w:t>HR In-Charge / Personnel Officer</w:t>
            </w:r>
          </w:p>
        </w:tc>
      </w:tr>
      <w:tr>
        <w:tc>
          <w:tcPr>
            <w:tcW w:type="dxa" w:w="2160"/>
          </w:tcPr>
          <w:p>
            <w:r>
              <w:t>HRM.11.e</w:t>
            </w:r>
          </w:p>
        </w:tc>
        <w:tc>
          <w:tcPr>
            <w:tcW w:type="dxa" w:w="2160"/>
          </w:tcPr>
          <w:p>
            <w:r>
              <w:t>Commitment</w:t>
            </w:r>
          </w:p>
        </w:tc>
        <w:tc>
          <w:tcPr>
            <w:tcW w:type="dxa" w:w="2160"/>
          </w:tcPr>
          <w:p>
            <w:r>
              <w:t>Section 3; 5.5</w:t>
            </w:r>
          </w:p>
        </w:tc>
        <w:tc>
          <w:tcPr>
            <w:tcW w:type="dxa" w:w="2160"/>
          </w:tcPr>
          <w:p>
            <w:r>
              <w:t>HR In-Charge / Personnel Officer</w:t>
            </w:r>
          </w:p>
        </w:tc>
      </w:tr>
      <w:tr>
        <w:tc>
          <w:tcPr>
            <w:tcW w:type="dxa" w:w="2160"/>
          </w:tcPr>
          <w:p>
            <w:r>
              <w:t>HRM.11.f</w:t>
            </w:r>
          </w:p>
        </w:tc>
        <w:tc>
          <w:tcPr>
            <w:tcW w:type="dxa" w:w="2160"/>
          </w:tcPr>
          <w:p>
            <w:r>
              <w:t>Commitment</w:t>
            </w:r>
          </w:p>
        </w:tc>
        <w:tc>
          <w:tcPr>
            <w:tcW w:type="dxa" w:w="2160"/>
          </w:tcPr>
          <w:p>
            <w:r>
              <w:t>Section 3; 5.6</w:t>
            </w:r>
          </w:p>
        </w:tc>
        <w:tc>
          <w:tcPr>
            <w:tcW w:type="dxa" w:w="2160"/>
          </w:tcPr>
          <w:p>
            <w:r>
              <w:t>HR In-Charge / Personnel Officer</w:t>
            </w:r>
          </w:p>
        </w:tc>
      </w:tr>
    </w:tbl>
    <w:p>
      <w:pPr>
        <w:pStyle w:val="Heading1"/>
      </w:pPr>
      <w:r>
        <w:t>13. Required Records / Evidence Checklist</w:t>
      </w:r>
    </w:p>
    <w:p>
      <w:pPr>
        <w:pStyle w:val="Heading2"/>
      </w:pPr>
      <w:r>
        <w:t>HRM.11.a — Permitted medical professionals identified. [Stop-work trigger]</w:t>
      </w:r>
    </w:p>
    <w:p>
      <w:pPr>
        <w:pStyle w:val="ListBullet"/>
      </w:pPr>
      <w:r>
        <w:t>Identified-medical-professional list permitted to provide unsupervised patient care, with a qualification, training and experience verification record.</w:t>
      </w:r>
    </w:p>
    <w:p>
      <w:pPr>
        <w:pStyle w:val="ListBullet"/>
      </w:pPr>
      <w:r>
        <w:t>Cross-reference to the stop-work authority in Section 6 for unlisted practice.</w:t>
      </w:r>
    </w:p>
    <w:p>
      <w:pPr>
        <w:pStyle w:val="Heading2"/>
      </w:pPr>
      <w:r>
        <w:t>HRM.11.b — Credentials documented and updated periodically.</w:t>
      </w:r>
    </w:p>
    <w:p>
      <w:pPr>
        <w:pStyle w:val="ListBullet"/>
      </w:pPr>
      <w:r>
        <w:t>Education, registration, training and experience documentation record, updated periodically, with a personal-file record of each update.</w:t>
      </w:r>
    </w:p>
    <w:p>
      <w:pPr>
        <w:pStyle w:val="Heading2"/>
      </w:pPr>
      <w:r>
        <w:t>HRM.11.c — Credentials verified when possible.</w:t>
      </w:r>
    </w:p>
    <w:p>
      <w:pPr>
        <w:pStyle w:val="ListBullet"/>
      </w:pPr>
      <w:r>
        <w:t>Verification record with the awarding organisation, including a National Medical Commission or equivalent reference-check record.</w:t>
      </w:r>
    </w:p>
    <w:p>
      <w:pPr>
        <w:pStyle w:val="Heading2"/>
      </w:pPr>
      <w:r>
        <w:t>HRM.11.d — Privileges granted in consonance with qualification, training, experience and registration. [Stop-work trigger]</w:t>
      </w:r>
    </w:p>
    <w:p>
      <w:pPr>
        <w:pStyle w:val="ListBullet"/>
      </w:pPr>
      <w:r>
        <w:t>Granted-privilege record naming the clinical services each professional is authorised for, with an annual privilege-review record.</w:t>
      </w:r>
    </w:p>
    <w:p>
      <w:pPr>
        <w:pStyle w:val="ListBullet"/>
      </w:pPr>
      <w:r>
        <w:t>Cross-reference to the stop-work authority in Section 6 for privileging outside this record.</w:t>
      </w:r>
    </w:p>
    <w:p>
      <w:pPr>
        <w:pStyle w:val="Heading2"/>
      </w:pPr>
      <w:r>
        <w:t>HRM.11.e — Requisite services known to professional and relevant departments.</w:t>
      </w:r>
    </w:p>
    <w:p>
      <w:pPr>
        <w:pStyle w:val="ListBullet"/>
      </w:pPr>
      <w:r>
        <w:t>Communicated-service record to the professional and to relevant departments, including admission-rights or surgical-rights notification records (front desk, operation theatre, etc.).</w:t>
      </w:r>
    </w:p>
    <w:p>
      <w:pPr>
        <w:pStyle w:val="Heading2"/>
      </w:pPr>
      <w:r>
        <w:t>HRM.11.f — Professionals admit and care as per privileging.</w:t>
      </w:r>
    </w:p>
    <w:p>
      <w:pPr>
        <w:pStyle w:val="ListBullet"/>
      </w:pPr>
      <w:r>
        <w:t>Standardised privileging-format record, applied uniformly.</w:t>
      </w:r>
    </w:p>
    <w:p>
      <w:pPr>
        <w:pStyle w:val="ListBullet"/>
      </w:pPr>
      <w:r>
        <w:t>Proctorship record for new faculty until independent privileges are granted.</w:t>
      </w:r>
    </w:p>
    <w:p>
      <w:pPr>
        <w:pStyle w:val="ListBullet"/>
      </w:pPr>
      <w:r>
        <w:t>Mechanism-confirmation record that professionals provide only privileged services.</w:t>
      </w:r>
    </w:p>
    <w:p>
      <w:pPr>
        <w:pStyle w:val="Heading1"/>
      </w:pPr>
      <w:r>
        <w:t>14. References</w:t>
      </w:r>
    </w:p>
    <w:p>
      <w:pPr>
        <w:pStyle w:val="ListBullet"/>
      </w:pPr>
      <w:r>
        <w:t>NABH Accreditation Standards for Hospitals, 6th Edition — standard HRM.11.</w:t>
      </w:r>
    </w:p>
    <w:p>
      <w:pPr>
        <w:pStyle w:val="ListBullet"/>
      </w:pPr>
      <w:r>
        <w:t>NABH Guidebook to Accreditation Standards for Hospitals, 6th Edition — HRM.11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