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Credentialing and Privileging of Para-Clinical Professionals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HCO/HRM/POL/13</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runs a process for credentialing and privileging of para-clinical professionals permitted to provide patient care without supervision, so that only identified, qualified, and privileged professionals provide unsupervised care.</w:t>
      </w:r>
    </w:p>
    <w:p>
      <w:pPr>
        <w:pStyle w:val="Heading1"/>
      </w:pPr>
      <w:r>
        <w:t>1. Purpose</w:t>
      </w:r>
    </w:p>
    <w:p>
      <w:pPr/>
      <w:r>
        <w:t>This policy sets out how «Hospital Name» identifies para-clinical professionals permitted to provide unsupervised patient care, documents and verifies their credentials, grants and communicates their privileges, and ensures they practise within those privileges.</w:t>
      </w:r>
    </w:p>
    <w:p>
      <w:pPr/>
      <w:r>
        <w:t>This policy does not cover recruitment, induction, safety and quality training, or staff health and safety — those are covered in other hospital policies. The other HRM standards have their own policies too.</w:t>
      </w:r>
    </w:p>
    <w:p>
      <w:pPr>
        <w:pStyle w:val="Heading1"/>
      </w:pPr>
      <w:r>
        <w:t>2. Scope</w:t>
      </w:r>
    </w:p>
    <w:p>
      <w:pPr/>
      <w:r>
        <w:t>This policy applies to all para-clinical professionals at «Hospital Name» — for example physiotherapists, rehabilitation therapists, dieticians, pharmacists, clinical pharmacists and technologists — permitted by law, regulation and the organisation to provide patient care without supervision.</w:t>
      </w:r>
    </w:p>
    <w:p>
      <w:pPr>
        <w:pStyle w:val="Heading1"/>
      </w:pPr>
      <w:r>
        <w:t>3. Policy standards</w:t>
      </w:r>
    </w:p>
    <w:p>
      <w:pPr/>
      <w:r>
        <w:t>«Hospital Name» identifies para-clinical professionals permitted to provide patient care without supervision.</w:t>
      </w:r>
    </w:p>
    <w:p>
      <w:pPr/>
      <w:r>
        <w:t>«Hospital Name» documents and periodically updates the education, registration, training and experience of para-clinical professionals.</w:t>
      </w:r>
    </w:p>
    <w:p>
      <w:pPr/>
      <w:r>
        <w:t>«Hospital Name» grants para-clinical professionals privileges in consonance with their qualification, training, experience and registration.</w:t>
      </w:r>
    </w:p>
    <w:p>
      <w:pPr/>
      <w:r>
        <w:t>«Hospital Name» ensures the requisite services a para-clinical professional is authorised to provide are known to that professional and to relevant departments.</w:t>
      </w:r>
    </w:p>
    <w:p>
      <w:pPr/>
      <w:r>
        <w:t>«Hospital Name» ensures para-clinical professionals care for patients as per their privileging.</w:t>
      </w:r>
    </w:p>
    <w:p>
      <w:pPr>
        <w:pStyle w:val="Heading1"/>
      </w:pPr>
      <w:r>
        <w:t>4. Non-negotiable rules</w:t>
      </w:r>
    </w:p>
    <w:p>
      <w:pPr>
        <w:pStyle w:val="ListNumber"/>
      </w:pPr>
      <w:r>
        <w:t>Do not let a para-clinical professional provide unsupervised patient care without first identifying them on the permitted list.</w:t>
      </w:r>
    </w:p>
    <w:p>
      <w:pPr>
        <w:pStyle w:val="ListNumber"/>
      </w:pPr>
      <w:r>
        <w:t>Do not leave a para-clinical professional's education, registration, training or experience unverified, undocumented, or out of date.</w:t>
      </w:r>
    </w:p>
    <w:p>
      <w:pPr>
        <w:pStyle w:val="ListNumber"/>
      </w:pPr>
      <w:r>
        <w:t>Do not grant or allow privileges that are not in consonance with a para-clinical professional's qualification, training, experience and registration.</w:t>
      </w:r>
    </w:p>
    <w:p>
      <w:pPr>
        <w:pStyle w:val="ListNumber"/>
      </w:pPr>
      <w:r>
        <w:t>Do not leave a para-clinical professional or the relevant departments unaware of the services that professional is authorised to provide.</w:t>
      </w:r>
    </w:p>
    <w:p>
      <w:pPr>
        <w:pStyle w:val="ListNumber"/>
      </w:pPr>
      <w:r>
        <w:t>Do not let a para-clinical professional care for a patient outside their granted privileges.</w:t>
      </w:r>
    </w:p>
    <w:p>
      <w:pPr>
        <w:pStyle w:val="ListNumber"/>
      </w:pPr>
      <w:r>
        <w:t>Do not bypass the stop-work authority in Section 6 when the trigger conditions are met.</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Identification of permitted professionals</w:t>
      </w:r>
    </w:p>
    <w:p>
      <w:pPr/>
      <w:r>
        <w:t>«Hospital Name» identifies para-clinical professionals (for example physiotherapist, rehabilitation therapist, dietician, pharmacist, clinical pharmacist, technologist) permitted by law, regulation and the organisation to provide patient care without supervision — individuals with the required qualification(s), training and experience, in consonance with the law. Providing unsupervised care outside this identified list is a stop-work trigger (Section 6).</w:t>
      </w:r>
    </w:p>
    <w:p>
      <w:pPr>
        <w:pStyle w:val="Heading2"/>
      </w:pPr>
      <w:r>
        <w:t>5.2 Credential documentation and verification</w:t>
      </w:r>
    </w:p>
    <w:p>
      <w:pPr/>
      <w:r>
        <w:t>The education, registration, training and experience of para-clinical professionals at «Hospital Name» are appropriately verified, documented and updated periodically, after acquisition of new skills or qualification, by checking with the organisation that awarded the qualification or training.</w:t>
      </w:r>
    </w:p>
    <w:p>
      <w:pPr>
        <w:pStyle w:val="Heading2"/>
      </w:pPr>
      <w:r>
        <w:t>5.3 Granting of privileges</w:t>
      </w:r>
    </w:p>
    <w:p>
      <w:pPr/>
      <w:r>
        <w:t>«Hospital Name» grants para-clinical professionals privileges in consonance with their qualification, training, experience and registration — specifying what each is authorised to do, with the requisite registration or licence held where applicable. Granting or exercising privileges outside this record is a stop-work trigger (Section 6).</w:t>
      </w:r>
    </w:p>
    <w:p>
      <w:pPr>
        <w:pStyle w:val="Heading2"/>
      </w:pPr>
      <w:r>
        <w:t>5.4 Communication of privileges</w:t>
      </w:r>
    </w:p>
    <w:p>
      <w:pPr/>
      <w:r>
        <w:t>The requisite services a para-clinical professional at «Hospital Name» is authorised to provide are known to that professional and to the concerned departments, communicated internally.</w:t>
      </w:r>
    </w:p>
    <w:p>
      <w:pPr>
        <w:pStyle w:val="Heading2"/>
      </w:pPr>
      <w:r>
        <w:t>5.5 Practising within privileges</w:t>
      </w:r>
    </w:p>
    <w:p>
      <w:pPr/>
      <w:r>
        <w:t>Para-clinical professionals at «Hospital Name» care for patients as per their privileging. New staff may work under supervision until independent privileges are granted; the hospital maintains a mechanism confirming para-clinical professionals provide only the services they are privileged for.</w:t>
      </w:r>
    </w:p>
    <w:p>
      <w:pPr>
        <w:pStyle w:val="Heading1"/>
      </w:pPr>
      <w:r>
        <w:t>6. Stop-work authority</w:t>
      </w:r>
    </w:p>
    <w:p>
      <w:pPr/>
      <w:r>
        <w:t>Do not let a para-clinical professional provide patient care without supervision unless the HR In-Charge / Personnel Officer and the credentialing file show that professional identified and privileged for that care under this policy.</w:t>
      </w:r>
    </w:p>
    <w:p>
      <w:pPr/>
      <w:r>
        <w:t>Stop-work applies to starting or continuing unsupervised care by that professional. Care already under way is handed to a privileged professional or brought under supervision; immediate life-saving care is not withdrawn while that handover happens.</w:t>
      </w:r>
    </w:p>
    <w:p>
      <w:pPr/>
      <w:r>
        <w:t>The person who stops tells the HR In-Charge / Personnel Officer and the Medical Superintendent the same shift. Refusing to let an uncredentialed or unprivileged professional practise unsupervised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the credentialing file and the identified-professional list.</w:t>
            </w:r>
          </w:p>
        </w:tc>
      </w:tr>
      <w:tr>
        <w:tc>
          <w:tcPr>
            <w:tcW w:type="dxa" w:w="4320"/>
          </w:tcPr>
          <w:p>
            <w:r>
              <w:t>Department heads / Unit In-Charges</w:t>
            </w:r>
          </w:p>
        </w:tc>
        <w:tc>
          <w:tcPr>
            <w:tcW w:type="dxa" w:w="4320"/>
          </w:tcPr>
          <w:p>
            <w:r>
              <w:t>Verify credentials and confirm para-clinical professionals practise within their granted privileges.</w:t>
            </w:r>
          </w:p>
        </w:tc>
      </w:tr>
      <w:tr>
        <w:tc>
          <w:tcPr>
            <w:tcW w:type="dxa" w:w="4320"/>
          </w:tcPr>
          <w:p>
            <w:r>
              <w:t>Medical Superintendent</w:t>
            </w:r>
          </w:p>
        </w:tc>
        <w:tc>
          <w:tcPr>
            <w:tcW w:type="dxa" w:w="4320"/>
          </w:tcPr>
          <w:p>
            <w:r>
              <w:t>Oversees implementation of this policy. Receives stop-work escalations.</w:t>
            </w:r>
          </w:p>
        </w:tc>
      </w:tr>
      <w:tr>
        <w:tc>
          <w:tcPr>
            <w:tcW w:type="dxa" w:w="4320"/>
          </w:tcPr>
          <w:p>
            <w:r>
              <w:t>All Staff</w:t>
            </w:r>
          </w:p>
        </w:tc>
        <w:tc>
          <w:tcPr>
            <w:tcW w:type="dxa" w:w="4320"/>
          </w:tcPr>
          <w:p>
            <w:r>
              <w:t>Report any para-clinical professional providing unsupervised care outside the identified or privileged list.</w:t>
            </w:r>
          </w:p>
        </w:tc>
      </w:tr>
    </w:tbl>
    <w:p>
      <w:pPr>
        <w:pStyle w:val="Heading1"/>
      </w:pPr>
      <w:r>
        <w:t>8. Quality monitoring</w:t>
      </w:r>
    </w:p>
    <w:p>
      <w:pPr/>
      <w:r>
        <w:t>The HR In-Charge / Personnel Officer reviews credentialing files to confirm every para-clinical professional providing unsupervised care is identified and privileged. Documentary evidence is on file for each CORE objective element. Compliance with the stop-work authority in Section 6 is monitored through the credentialing file review. This policy itself is reviewed every year.</w:t>
      </w:r>
    </w:p>
    <w:p>
      <w:pPr>
        <w:pStyle w:val="Heading1"/>
      </w:pPr>
      <w:r>
        <w:t>9. Training and staff acknowledgement</w:t>
      </w:r>
    </w:p>
    <w:p>
      <w:pPr/>
      <w:r>
        <w:t>All staff covered by this policy are made aware of the credentialing and privileging process, including the stop-work authority in Section 6, and sign the acknowledgement below.</w:t>
      </w:r>
    </w:p>
    <w:p>
      <w:pPr/>
      <w:r>
        <w:t>I have read the Policy on Credentialing and Privileging of Para-Clinical Professionals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HR department; all department heads / unit in-charges;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HRM.13</w:t>
      </w:r>
    </w:p>
    <w:p>
      <w:pPr/>
      <w:r>
        <w:t>This table is an index. It is not how the policy is organised. An asterisk in the Level column means documentation of the process is required. Stop-work applies ONLY to the OEs marked 'Section 6 Stop-work'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HRM.13.a</w:t>
            </w:r>
          </w:p>
        </w:tc>
        <w:tc>
          <w:tcPr>
            <w:tcW w:type="dxa" w:w="2160"/>
          </w:tcPr>
          <w:p>
            <w:r>
              <w:t>CORE</w:t>
            </w:r>
          </w:p>
        </w:tc>
        <w:tc>
          <w:tcPr>
            <w:tcW w:type="dxa" w:w="2160"/>
          </w:tcPr>
          <w:p>
            <w:r>
              <w:t>Section 3; 5.1; Section 6 Stop-work</w:t>
            </w:r>
          </w:p>
        </w:tc>
        <w:tc>
          <w:tcPr>
            <w:tcW w:type="dxa" w:w="2160"/>
          </w:tcPr>
          <w:p>
            <w:r>
              <w:t>HR In-Charge / Personnel Officer</w:t>
            </w:r>
          </w:p>
        </w:tc>
      </w:tr>
      <w:tr>
        <w:tc>
          <w:tcPr>
            <w:tcW w:type="dxa" w:w="2160"/>
          </w:tcPr>
          <w:p>
            <w:r>
              <w:t>HRM.13.b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HRM.13.c</w:t>
            </w:r>
          </w:p>
        </w:tc>
        <w:tc>
          <w:tcPr>
            <w:tcW w:type="dxa" w:w="2160"/>
          </w:tcPr>
          <w:p>
            <w:r>
              <w:t>CORE</w:t>
            </w:r>
          </w:p>
        </w:tc>
        <w:tc>
          <w:tcPr>
            <w:tcW w:type="dxa" w:w="2160"/>
          </w:tcPr>
          <w:p>
            <w:r>
              <w:t>Section 3; 5.3; Section 6 Stop-work</w:t>
            </w:r>
          </w:p>
        </w:tc>
        <w:tc>
          <w:tcPr>
            <w:tcW w:type="dxa" w:w="2160"/>
          </w:tcPr>
          <w:p>
            <w:r>
              <w:t>HR In-Charge / Personnel Officer</w:t>
            </w:r>
          </w:p>
        </w:tc>
      </w:tr>
      <w:tr>
        <w:tc>
          <w:tcPr>
            <w:tcW w:type="dxa" w:w="2160"/>
          </w:tcPr>
          <w:p>
            <w:r>
              <w:t>HRM.13.d</w:t>
            </w:r>
          </w:p>
        </w:tc>
        <w:tc>
          <w:tcPr>
            <w:tcW w:type="dxa" w:w="2160"/>
          </w:tcPr>
          <w:p>
            <w:r>
              <w:t>Commitment</w:t>
            </w:r>
          </w:p>
        </w:tc>
        <w:tc>
          <w:tcPr>
            <w:tcW w:type="dxa" w:w="2160"/>
          </w:tcPr>
          <w:p>
            <w:r>
              <w:t>Section 3; 5.4</w:t>
            </w:r>
          </w:p>
        </w:tc>
        <w:tc>
          <w:tcPr>
            <w:tcW w:type="dxa" w:w="2160"/>
          </w:tcPr>
          <w:p>
            <w:r>
              <w:t>HR In-Charge / Personnel Officer</w:t>
            </w:r>
          </w:p>
        </w:tc>
      </w:tr>
      <w:tr>
        <w:tc>
          <w:tcPr>
            <w:tcW w:type="dxa" w:w="2160"/>
          </w:tcPr>
          <w:p>
            <w:r>
              <w:t>HRM.13.e</w:t>
            </w:r>
          </w:p>
        </w:tc>
        <w:tc>
          <w:tcPr>
            <w:tcW w:type="dxa" w:w="2160"/>
          </w:tcPr>
          <w:p>
            <w:r>
              <w:t>Commitment</w:t>
            </w:r>
          </w:p>
        </w:tc>
        <w:tc>
          <w:tcPr>
            <w:tcW w:type="dxa" w:w="2160"/>
          </w:tcPr>
          <w:p>
            <w:r>
              <w:t>Section 3; 5.5</w:t>
            </w:r>
          </w:p>
        </w:tc>
        <w:tc>
          <w:tcPr>
            <w:tcW w:type="dxa" w:w="2160"/>
          </w:tcPr>
          <w:p>
            <w:r>
              <w:t>HR In-Charge / Personnel Officer</w:t>
            </w:r>
          </w:p>
        </w:tc>
      </w:tr>
    </w:tbl>
    <w:p>
      <w:pPr>
        <w:pStyle w:val="Heading1"/>
      </w:pPr>
      <w:r>
        <w:t>13. Required Records / Evidence Checklist</w:t>
      </w:r>
    </w:p>
    <w:p>
      <w:pPr>
        <w:pStyle w:val="Heading2"/>
      </w:pPr>
      <w:r>
        <w:t>HRM.13.a — Permitted para-clinical professionals identified. [Stop-work trigger]</w:t>
      </w:r>
    </w:p>
    <w:p>
      <w:pPr>
        <w:pStyle w:val="ListBullet"/>
      </w:pPr>
      <w:r>
        <w:t>Identified-para-clinical-professional list permitted to provide unsupervised patient care, with a qualification, training and experience verification record.</w:t>
      </w:r>
    </w:p>
    <w:p>
      <w:pPr>
        <w:pStyle w:val="ListBullet"/>
      </w:pPr>
      <w:r>
        <w:t>Cross-reference to the stop-work authority in Section 6 for unlisted practice.</w:t>
      </w:r>
    </w:p>
    <w:p>
      <w:pPr>
        <w:pStyle w:val="Heading2"/>
      </w:pPr>
      <w:r>
        <w:t>HRM.13.b — Credentials verified, documented, updated periodically.</w:t>
      </w:r>
    </w:p>
    <w:p>
      <w:pPr>
        <w:pStyle w:val="ListBullet"/>
      </w:pPr>
      <w:r>
        <w:t>Education, registration, training and experience verification and documentation record, updated periodically, with a personal-file record of each update.</w:t>
      </w:r>
    </w:p>
    <w:p>
      <w:pPr>
        <w:pStyle w:val="ListBullet"/>
      </w:pPr>
      <w:r>
        <w:t>Verification-with-awarding-organisation record.</w:t>
      </w:r>
    </w:p>
    <w:p>
      <w:pPr>
        <w:pStyle w:val="Heading2"/>
      </w:pPr>
      <w:r>
        <w:t>HRM.13.c — Privileges granted in consonance with qualification, training, experience and registration. [Stop-work trigger]</w:t>
      </w:r>
    </w:p>
    <w:p>
      <w:pPr>
        <w:pStyle w:val="ListBullet"/>
      </w:pPr>
      <w:r>
        <w:t>Granted-privilege record naming what each para-clinical professional is authorised to do, with a registration or licence-on-file record where applicable.</w:t>
      </w:r>
    </w:p>
    <w:p>
      <w:pPr>
        <w:pStyle w:val="ListBullet"/>
      </w:pPr>
      <w:r>
        <w:t>Cross-reference to the stop-work authority in Section 6 for privileging outside this record.</w:t>
      </w:r>
    </w:p>
    <w:p>
      <w:pPr>
        <w:pStyle w:val="Heading2"/>
      </w:pPr>
      <w:r>
        <w:t>HRM.13.d — Requisite services known to professional and relevant departments.</w:t>
      </w:r>
    </w:p>
    <w:p>
      <w:pPr>
        <w:pStyle w:val="ListBullet"/>
      </w:pPr>
      <w:r>
        <w:t>Communicated-service record to the professional and to concerned departments, with an internal-communication and confirmation-of-awareness record.</w:t>
      </w:r>
    </w:p>
    <w:p>
      <w:pPr>
        <w:pStyle w:val="Heading2"/>
      </w:pPr>
      <w:r>
        <w:t>HRM.13.e — Para-clinical professionals care as per privileging.</w:t>
      </w:r>
    </w:p>
    <w:p>
      <w:pPr>
        <w:pStyle w:val="ListBullet"/>
      </w:pPr>
      <w:r>
        <w:t>Supervision record for new staff until independent privileges are granted.</w:t>
      </w:r>
    </w:p>
    <w:p>
      <w:pPr>
        <w:pStyle w:val="ListBullet"/>
      </w:pPr>
      <w:r>
        <w:t>Mechanism-confirmation and privileging-compliance spot-check record.</w:t>
      </w:r>
    </w:p>
    <w:p>
      <w:pPr>
        <w:pStyle w:val="Heading1"/>
      </w:pPr>
      <w:r>
        <w:t>14. References</w:t>
      </w:r>
    </w:p>
    <w:p>
      <w:pPr>
        <w:pStyle w:val="ListBullet"/>
      </w:pPr>
      <w:r>
        <w:t>NABH Accreditation Standards for Hospitals, 6th Edition — standard HRM.13.</w:t>
      </w:r>
    </w:p>
    <w:p>
      <w:pPr>
        <w:pStyle w:val="ListBullet"/>
      </w:pPr>
      <w:r>
        <w:t>NABH Guidebook to NABH Accreditation Standards for Hospitals, 6th Edition — HRM.13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