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the Medical Record Reflecting Continuity of Care</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the medical record reflects the continuity of care a patient receives, from admission through assessments, procedures, transfer or discharge, and remains accessible to care providers.</w:t>
      </w:r>
    </w:p>
    <w:p>
      <w:pPr>
        <w:pStyle w:val="Heading1"/>
        <w:spacing w:after="120" w:before="240"/>
      </w:pPr>
      <w:r>
        <w:t xml:space="preserve">1. Purpose</w:t>
      </w:r>
    </w:p>
    <w:p>
      <w:pPr>
        <w:spacing w:after="160"/>
      </w:pPr>
      <w:r>
        <w:t xml:space="preserve">This policy sets out how the medical record at «Hospital Name» documents reasons for admission, diagnosis and care plan; assessments, re-assessments and consultations; investigation results and care provided; operative and other procedures; transfer details; the discharge summary; the cause of death where applicable; and access by care providers to current and past records.</w:t>
      </w:r>
    </w:p>
    <w:p>
      <w:pPr>
        <w:spacing w:after="160"/>
      </w:pPr>
      <w:r>
        <w:t xml:space="preserve">This policy does not cover the medical record's unique identifier, entry authorisation, or confidentiality and security of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the content of the medical record for every patient cared for at «Hospital Name», across admission, in-patient stay, transfer, discharge and death where applicable.</w:t>
      </w:r>
    </w:p>
    <w:p>
      <w:pPr>
        <w:pStyle w:val="Heading1"/>
        <w:spacing w:after="120" w:before="240"/>
      </w:pPr>
      <w:r>
        <w:t xml:space="preserve">3. Policy standards</w:t>
      </w:r>
    </w:p>
    <w:p>
      <w:pPr>
        <w:spacing w:after="160"/>
      </w:pPr>
      <w:r>
        <w:t xml:space="preserve">The medical record at «Hospital Name» contains information on reasons for admission, diagnosis and care plan.</w:t>
      </w:r>
    </w:p>
    <w:p>
      <w:pPr>
        <w:spacing w:after="160"/>
      </w:pPr>
      <w:r>
        <w:t xml:space="preserve">The medical record contains details of assessments, re-assessments and consultations.</w:t>
      </w:r>
    </w:p>
    <w:p>
      <w:pPr>
        <w:spacing w:after="160"/>
      </w:pPr>
      <w:r>
        <w:t xml:space="preserve">The medical record contains investigation results and details of care provided.</w:t>
      </w:r>
    </w:p>
    <w:p>
      <w:pPr>
        <w:spacing w:after="160"/>
      </w:pPr>
      <w:r>
        <w:t xml:space="preserve">Operative and other procedures performed are incorporated in the medical record.</w:t>
      </w:r>
    </w:p>
    <w:p>
      <w:pPr>
        <w:spacing w:after="160"/>
      </w:pPr>
      <w:r>
        <w:t xml:space="preserve">When a patient is transferred to another organisation, the medical record contains the transfer details.</w:t>
      </w:r>
    </w:p>
    <w:p>
      <w:pPr>
        <w:spacing w:after="160"/>
      </w:pPr>
      <w:r>
        <w:t xml:space="preserve">The medical record contains a signed copy of the discharge summary.</w:t>
      </w:r>
    </w:p>
    <w:p>
      <w:pPr>
        <w:spacing w:after="160"/>
      </w:pPr>
      <w:r>
        <w:t xml:space="preserve">In case of death, the medical record contains a copy of the medical certificate of the cause of death.</w:t>
      </w:r>
    </w:p>
    <w:p>
      <w:pPr>
        <w:spacing w:after="160"/>
      </w:pPr>
      <w:r>
        <w:t xml:space="preserve">Care providers have access to the current and past medical record.</w:t>
      </w:r>
    </w:p>
    <w:p>
      <w:pPr>
        <w:pStyle w:val="Heading1"/>
        <w:spacing w:after="120" w:before="240"/>
      </w:pPr>
      <w:r>
        <w:t xml:space="preserve">4. Non-negotiable rules</w:t>
      </w:r>
    </w:p>
    <w:p>
      <w:pPr>
        <w:pStyle w:val="ListParagraph"/>
        <w:numPr>
          <w:ilvl w:val="0"/>
          <w:numId w:val="2"/>
        </w:numPr>
        <w:spacing w:after="120"/>
      </w:pPr>
      <w:r>
        <w:t xml:space="preserve">1. Do not admit an in-patient without the treating doctor or a doctor member of the treating team documenting the diagnosis, preferably coded per ICD/SNOMED CT.</w:t>
      </w:r>
    </w:p>
    <w:p>
      <w:pPr>
        <w:pStyle w:val="ListParagraph"/>
        <w:numPr>
          <w:ilvl w:val="0"/>
          <w:numId w:val="2"/>
        </w:numPr>
        <w:spacing w:after="120"/>
      </w:pPr>
      <w:r>
        <w:t xml:space="preserve">2. Do not leave assessments, re-assessments or consultations — medical, nursing, rehabilitation, physiotherapy, nutrition — out of the medical record.</w:t>
      </w:r>
    </w:p>
    <w:p>
      <w:pPr>
        <w:pStyle w:val="ListParagraph"/>
        <w:numPr>
          <w:ilvl w:val="0"/>
          <w:numId w:val="2"/>
        </w:numPr>
        <w:spacing w:after="120"/>
      </w:pPr>
      <w:r>
        <w:t xml:space="preserve">3. Do not leave investigation results or details of the care provided out of the medical record.</w:t>
      </w:r>
    </w:p>
    <w:p>
      <w:pPr>
        <w:pStyle w:val="ListParagraph"/>
        <w:numPr>
          <w:ilvl w:val="0"/>
          <w:numId w:val="2"/>
        </w:numPr>
        <w:spacing w:after="120"/>
      </w:pPr>
      <w:r>
        <w:t xml:space="preserve">4. Do not perform an operative or other procedure without incorporating its name and details into the medical record.</w:t>
      </w:r>
    </w:p>
    <w:p>
      <w:pPr>
        <w:pStyle w:val="ListParagraph"/>
        <w:numPr>
          <w:ilvl w:val="0"/>
          <w:numId w:val="2"/>
        </w:numPr>
        <w:spacing w:after="120"/>
      </w:pPr>
      <w:r>
        <w:t xml:space="preserve">5. Do not transfer a patient to another organisation without recording the date, reason, receiving organisation, and the patient's clinical condition before transfer.</w:t>
      </w:r>
    </w:p>
    <w:p>
      <w:pPr>
        <w:pStyle w:val="ListParagraph"/>
        <w:numPr>
          <w:ilvl w:val="0"/>
          <w:numId w:val="2"/>
        </w:numPr>
        <w:spacing w:after="120"/>
      </w:pPr>
      <w:r>
        <w:t xml:space="preserve">6. Do not discharge a patient without a discharge summary signed by a doctor member of the treating team.</w:t>
      </w:r>
    </w:p>
    <w:p>
      <w:pPr>
        <w:pStyle w:val="ListParagraph"/>
        <w:numPr>
          <w:ilvl w:val="0"/>
          <w:numId w:val="2"/>
        </w:numPr>
        <w:spacing w:after="120"/>
      </w:pPr>
      <w:r>
        <w:t xml:space="preserve">7. Do not omit the medical certificate of cause of death, coded per the WHO International Classification, when a patient dies — and never record cardiac or respiratory arrest as the cause of death.</w:t>
      </w:r>
    </w:p>
    <w:p>
      <w:pPr>
        <w:pStyle w:val="ListParagraph"/>
        <w:numPr>
          <w:ilvl w:val="0"/>
          <w:numId w:val="2"/>
        </w:numPr>
        <w:spacing w:after="120"/>
      </w:pPr>
      <w:r>
        <w:t xml:space="preserve">8. Do not deny a designated care provider access, including 24-hour access, to a patient's current and past medical record needed for continuity of care.</w:t>
      </w:r>
    </w:p>
    <w:p>
      <w:pPr>
        <w:pStyle w:val="ListParagraph"/>
        <w:numPr>
          <w:ilvl w:val="0"/>
          <w:numId w:val="2"/>
        </w:numPr>
        <w:spacing w:after="120"/>
      </w:pPr>
      <w:r>
        <w:t xml:space="preserve">9. 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Reasons for admission, diagnosis, care plan</w:t>
      </w:r>
    </w:p>
    <w:p>
      <w:pPr>
        <w:spacing w:after="160"/>
      </w:pPr>
      <w:r>
        <w:t xml:space="preserve">For in-patients at «Hospital Name», the diagnosis is documented by the treating doctor or a doctor member of the treating team in all records, preferably per ICD/SNOMED CT. In the medical records department, all diagnoses are codified per ICD/SNOMED CT.</w:t>
      </w:r>
    </w:p>
    <w:p>
      <w:pPr>
        <w:pStyle w:val="Heading2"/>
        <w:spacing w:after="100" w:before="160"/>
      </w:pPr>
      <w:r>
        <w:t xml:space="preserve">5.2 Assessments, re-assessments and consultations</w:t>
      </w:r>
    </w:p>
    <w:p>
      <w:pPr>
        <w:spacing w:after="160"/>
      </w:pPr>
      <w:r>
        <w:t xml:space="preserve">Details of assessments, re-assessments and consultations at «Hospital Name» — medical, nursing, rehabilitation, physiotherapy, nutrition — form part of the medical record, in physical or electronic form.</w:t>
      </w:r>
    </w:p>
    <w:p>
      <w:pPr>
        <w:pStyle w:val="Heading2"/>
        <w:spacing w:after="100" w:before="160"/>
      </w:pPr>
      <w:r>
        <w:t xml:space="preserve">5.3 Investigation results and care provided</w:t>
      </w:r>
    </w:p>
    <w:p>
      <w:pPr>
        <w:spacing w:after="160"/>
      </w:pPr>
      <w:r>
        <w:t xml:space="preserve">Results of all investigations at «Hospital Name» form part of the medical record, in physical or electronic form, consistent with how the medical record's contents are defined in other hospital policies.</w:t>
      </w:r>
    </w:p>
    <w:p>
      <w:pPr>
        <w:pStyle w:val="Heading2"/>
        <w:spacing w:after="100" w:before="160"/>
      </w:pPr>
      <w:r>
        <w:t xml:space="preserve">5.4 Operative and other procedures</w:t>
      </w:r>
    </w:p>
    <w:p>
      <w:pPr>
        <w:spacing w:after="160"/>
      </w:pPr>
      <w:r>
        <w:t xml:space="preserve">The name and details of operative and other procedures performed at «Hospital Name» are incorporated in the medical record.</w:t>
      </w:r>
    </w:p>
    <w:p>
      <w:pPr>
        <w:pStyle w:val="Heading2"/>
        <w:spacing w:after="100" w:before="160"/>
      </w:pPr>
      <w:r>
        <w:t xml:space="preserve">5.5 Transfer details</w:t>
      </w:r>
    </w:p>
    <w:p>
      <w:pPr>
        <w:spacing w:after="160"/>
      </w:pPr>
      <w:r>
        <w:t xml:space="preserve">When a patient is transferred to another organisation, the medical record at «Hospital Name» contains the date of transfer, the reason for transfer, and the name of the receiving organisation. The patient's clinical condition before transfer is mandatorily recorded, consistent with how transfer summaries are handled in other hospital policies. If the patient requested the transfer, a note to that effect may be added, and the receiving organisation recorded is the one the patient desires to go to.</w:t>
      </w:r>
    </w:p>
    <w:p>
      <w:pPr>
        <w:pStyle w:val="Heading2"/>
        <w:spacing w:after="100" w:before="160"/>
      </w:pPr>
      <w:r>
        <w:t xml:space="preserve">5.6 Discharge summary</w:t>
      </w:r>
    </w:p>
    <w:p>
      <w:pPr>
        <w:spacing w:after="160"/>
      </w:pPr>
      <w:r>
        <w:t xml:space="preserve">The medical record at «Hospital Name» contains a signed copy of the discharge summary, signed by a doctor member of the treating team. Electronically signed discharge summaries are acceptable.</w:t>
      </w:r>
    </w:p>
    <w:p>
      <w:pPr>
        <w:pStyle w:val="Heading2"/>
        <w:spacing w:after="100" w:before="160"/>
      </w:pPr>
      <w:r>
        <w:t xml:space="preserve">5.7 Cause of death</w:t>
      </w:r>
    </w:p>
    <w:p>
      <w:pPr>
        <w:spacing w:after="160"/>
      </w:pPr>
      <w:r>
        <w:t xml:space="preserve">In case of death, the medical record at «Hospital Name» contains a copy of the medical certificate of the cause of death, stating the cause, date and time of death, coded per the WHO International Classification of the Cause of Death. Cardiac and respiratory arrest is recorded as an event of death, not the cause of death. The certificate is completed following the guidance in the "Physicians' Manual on Medical Certification of Cause of Death" issued by the Office of the Registrar General, Ministry of Home Affairs, Government of India.</w:t>
      </w:r>
    </w:p>
    <w:p>
      <w:pPr>
        <w:pStyle w:val="Heading2"/>
        <w:spacing w:after="100" w:before="160"/>
      </w:pPr>
      <w:r>
        <w:t xml:space="preserve">5.8 Care provider access</w:t>
      </w:r>
    </w:p>
    <w:p>
      <w:pPr>
        <w:spacing w:after="160"/>
      </w:pPr>
      <w:r>
        <w:t xml:space="preserve">«Hospital Name» provides access to medical records to designated care providers involved in a patient's care. For electronic medical record systems, identified care providers hold a user ID and password. A 24-hour provision ensures the patient's record is available to healthcare providers for continuity of care. For physical records, when the medical records department is closed, a system allows authorised personnel to access and retrieve the record; records are retrievable for all existing hospital patients presenting to the emergency room.</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24-hour access mechanism and transfer/discharge/death record completeness checks.</w:t>
            </w:r>
          </w:p>
        </w:tc>
      </w:tr>
      <w:tr>
        <w:tc>
          <w:tcPr>
            <w:tcW w:type="pct" w:w="35%"/>
            <w:vAlign w:val="center"/>
          </w:tcPr>
          <w:p>
            <w:r>
              <w:rPr>
                <w:b w:val="false"/>
                <w:bCs w:val="false"/>
              </w:rPr>
              <w:t xml:space="preserve">Treating Doctor / Care Team</w:t>
            </w:r>
          </w:p>
        </w:tc>
        <w:tc>
          <w:tcPr>
            <w:tcW w:type="pct" w:w="65%"/>
            <w:vAlign w:val="center"/>
          </w:tcPr>
          <w:p>
            <w:r>
              <w:rPr>
                <w:b w:val="false"/>
                <w:bCs w:val="false"/>
              </w:rPr>
              <w:t xml:space="preserve">Documents diagnosis, assessments, procedures, transfer details, discharge summary and cause of death.</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access-authorisation procedures for medical records. Report identified risks and rule breaches.</w:t>
            </w:r>
          </w:p>
        </w:tc>
      </w:tr>
    </w:tbl>
    <w:p>
      <w:pPr>
        <w:pStyle w:val="Heading1"/>
        <w:spacing w:after="120" w:before="240"/>
      </w:pPr>
      <w:r>
        <w:t xml:space="preserve">7. Quality monitoring</w:t>
      </w:r>
    </w:p>
    <w:p>
      <w:pPr>
        <w:spacing w:after="160"/>
      </w:pPr>
      <w:r>
        <w:t xml:space="preserve">The Medical Records In-Charge reviews sampled records for admission/diagnosis documentation, assessment completeness, transfer and discharge summary presence, cause-of-death certification accuracy, and 24-hour care-provider access functioning.</w:t>
      </w:r>
    </w:p>
    <w:p>
      <w:pPr>
        <w:pStyle w:val="Heading1"/>
        <w:spacing w:after="120" w:before="240"/>
      </w:pPr>
      <w:r>
        <w:t xml:space="preserve">8. Training and staff acknowledgement</w:t>
      </w:r>
    </w:p>
    <w:p>
      <w:pPr>
        <w:spacing w:after="160"/>
      </w:pPr>
      <w:r>
        <w:t xml:space="preserve">All staff who document in or access the medical record are trained on continuity-of-care documentation requirements, and sign the acknowledgement below.</w:t>
      </w:r>
    </w:p>
    <w:p>
      <w:pPr>
        <w:spacing w:after="160"/>
      </w:pPr>
      <w:r>
        <w:t xml:space="preserve">Acknowledgement statement:</w:t>
      </w:r>
    </w:p>
    <w:p>
      <w:pPr>
        <w:spacing w:after="160"/>
      </w:pPr>
      <w:r>
        <w:t xml:space="preserve">"I have read the Policy on the Medical Record Reflecting Continuity of Care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IMS.4</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IMS.4.a</w:t>
            </w:r>
          </w:p>
        </w:tc>
        <w:tc>
          <w:tcPr>
            <w:vAlign w:val="center"/>
          </w:tcPr>
          <w:p>
            <w:r>
              <w:rPr>
                <w:b w:val="false"/>
                <w:bCs w:val="false"/>
              </w:rPr>
              <w:t xml:space="preserve">Admission reasons, diagnosis, care plan documented</w:t>
            </w:r>
          </w:p>
        </w:tc>
        <w:tc>
          <w:tcPr>
            <w:vAlign w:val="center"/>
          </w:tcPr>
          <w:p>
            <w:r>
              <w:rPr>
                <w:b w:val="false"/>
                <w:bCs w:val="false"/>
              </w:rPr>
              <w:t xml:space="preserve">Commitment</w:t>
            </w:r>
          </w:p>
        </w:tc>
        <w:tc>
          <w:tcPr>
            <w:vAlign w:val="center"/>
          </w:tcPr>
          <w:p>
            <w:r>
              <w:rPr>
                <w:b w:val="false"/>
                <w:bCs w:val="false"/>
              </w:rPr>
              <w:t xml:space="preserve">Section 5.1</w:t>
            </w:r>
          </w:p>
        </w:tc>
        <w:tc>
          <w:tcPr>
            <w:vAlign w:val="center"/>
          </w:tcPr>
          <w:p>
            <w:r>
              <w:rPr>
                <w:b w:val="false"/>
                <w:bCs w:val="false"/>
              </w:rPr>
              <w:t xml:space="preserve">Treating Doctor / Care Team</w:t>
            </w:r>
          </w:p>
        </w:tc>
      </w:tr>
      <w:tr>
        <w:tc>
          <w:tcPr>
            <w:vAlign w:val="center"/>
          </w:tcPr>
          <w:p>
            <w:r>
              <w:rPr>
                <w:b w:val="false"/>
                <w:bCs w:val="false"/>
              </w:rPr>
              <w:t xml:space="preserve">IMS.4.b</w:t>
            </w:r>
          </w:p>
        </w:tc>
        <w:tc>
          <w:tcPr>
            <w:vAlign w:val="center"/>
          </w:tcPr>
          <w:p>
            <w:r>
              <w:rPr>
                <w:b w:val="false"/>
                <w:bCs w:val="false"/>
              </w:rPr>
              <w:t xml:space="preserve">Assessments, re-assessments, consultations documented</w:t>
            </w:r>
          </w:p>
        </w:tc>
        <w:tc>
          <w:tcPr>
            <w:vAlign w:val="center"/>
          </w:tcPr>
          <w:p>
            <w:r>
              <w:rPr>
                <w:b w:val="false"/>
                <w:bCs w:val="false"/>
              </w:rPr>
              <w:t xml:space="preserve">Commitment</w:t>
            </w:r>
          </w:p>
        </w:tc>
        <w:tc>
          <w:tcPr>
            <w:vAlign w:val="center"/>
          </w:tcPr>
          <w:p>
            <w:r>
              <w:rPr>
                <w:b w:val="false"/>
                <w:bCs w:val="false"/>
              </w:rPr>
              <w:t xml:space="preserve">Section 5.2</w:t>
            </w:r>
          </w:p>
        </w:tc>
        <w:tc>
          <w:tcPr>
            <w:vAlign w:val="center"/>
          </w:tcPr>
          <w:p>
            <w:r>
              <w:rPr>
                <w:b w:val="false"/>
                <w:bCs w:val="false"/>
              </w:rPr>
              <w:t xml:space="preserve">Treating Doctor / Care Team</w:t>
            </w:r>
          </w:p>
        </w:tc>
      </w:tr>
      <w:tr>
        <w:tc>
          <w:tcPr>
            <w:vAlign w:val="center"/>
          </w:tcPr>
          <w:p>
            <w:r>
              <w:rPr>
                <w:b w:val="false"/>
                <w:bCs w:val="false"/>
              </w:rPr>
              <w:t xml:space="preserve">IMS.4.c</w:t>
            </w:r>
          </w:p>
        </w:tc>
        <w:tc>
          <w:tcPr>
            <w:vAlign w:val="center"/>
          </w:tcPr>
          <w:p>
            <w:r>
              <w:rPr>
                <w:b w:val="false"/>
                <w:bCs w:val="false"/>
              </w:rPr>
              <w:t xml:space="preserve">Investigation results and care provided documented</w:t>
            </w:r>
          </w:p>
        </w:tc>
        <w:tc>
          <w:tcPr>
            <w:vAlign w:val="center"/>
          </w:tcPr>
          <w:p>
            <w:r>
              <w:rPr>
                <w:b w:val="false"/>
                <w:bCs w:val="false"/>
              </w:rPr>
              <w:t xml:space="preserve">Commitment</w:t>
            </w:r>
          </w:p>
        </w:tc>
        <w:tc>
          <w:tcPr>
            <w:vAlign w:val="center"/>
          </w:tcPr>
          <w:p>
            <w:r>
              <w:rPr>
                <w:b w:val="false"/>
                <w:bCs w:val="false"/>
              </w:rPr>
              <w:t xml:space="preserve">Section 5.3</w:t>
            </w:r>
          </w:p>
        </w:tc>
        <w:tc>
          <w:tcPr>
            <w:vAlign w:val="center"/>
          </w:tcPr>
          <w:p>
            <w:r>
              <w:rPr>
                <w:b w:val="false"/>
                <w:bCs w:val="false"/>
              </w:rPr>
              <w:t xml:space="preserve">Treating Doctor / Care Team</w:t>
            </w:r>
          </w:p>
        </w:tc>
      </w:tr>
      <w:tr>
        <w:tc>
          <w:tcPr>
            <w:vAlign w:val="center"/>
          </w:tcPr>
          <w:p>
            <w:r>
              <w:rPr>
                <w:b w:val="false"/>
                <w:bCs w:val="false"/>
              </w:rPr>
              <w:t xml:space="preserve">IMS.4.d</w:t>
            </w:r>
          </w:p>
        </w:tc>
        <w:tc>
          <w:tcPr>
            <w:vAlign w:val="center"/>
          </w:tcPr>
          <w:p>
            <w:r>
              <w:rPr>
                <w:b w:val="false"/>
                <w:bCs w:val="false"/>
              </w:rPr>
              <w:t xml:space="preserve">Operative/other procedures incorporated</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Treating Doctor / Care Team</w:t>
            </w:r>
          </w:p>
        </w:tc>
      </w:tr>
      <w:tr>
        <w:tc>
          <w:tcPr>
            <w:vAlign w:val="center"/>
          </w:tcPr>
          <w:p>
            <w:r>
              <w:rPr>
                <w:b w:val="false"/>
                <w:bCs w:val="false"/>
              </w:rPr>
              <w:t xml:space="preserve">IMS.4.e</w:t>
            </w:r>
          </w:p>
        </w:tc>
        <w:tc>
          <w:tcPr>
            <w:vAlign w:val="center"/>
          </w:tcPr>
          <w:p>
            <w:r>
              <w:rPr>
                <w:b w:val="false"/>
                <w:bCs w:val="false"/>
              </w:rPr>
              <w:t xml:space="preserve">Transfer details documented</w:t>
            </w:r>
          </w:p>
        </w:tc>
        <w:tc>
          <w:tcPr>
            <w:vAlign w:val="center"/>
          </w:tcPr>
          <w:p>
            <w:r>
              <w:rPr>
                <w:b w:val="false"/>
                <w:bCs w:val="false"/>
              </w:rPr>
              <w:t xml:space="preserve">Commitment</w:t>
            </w:r>
          </w:p>
        </w:tc>
        <w:tc>
          <w:tcPr>
            <w:vAlign w:val="center"/>
          </w:tcPr>
          <w:p>
            <w:r>
              <w:rPr>
                <w:b w:val="false"/>
                <w:bCs w:val="false"/>
              </w:rPr>
              <w:t xml:space="preserve">Section 5.5</w:t>
            </w:r>
          </w:p>
        </w:tc>
        <w:tc>
          <w:tcPr>
            <w:vAlign w:val="center"/>
          </w:tcPr>
          <w:p>
            <w:r>
              <w:rPr>
                <w:b w:val="false"/>
                <w:bCs w:val="false"/>
              </w:rPr>
              <w:t xml:space="preserve">Medical Records In-Charge</w:t>
            </w:r>
          </w:p>
        </w:tc>
      </w:tr>
      <w:tr>
        <w:tc>
          <w:tcPr>
            <w:vAlign w:val="center"/>
          </w:tcPr>
          <w:p>
            <w:r>
              <w:rPr>
                <w:b w:val="false"/>
                <w:bCs w:val="false"/>
              </w:rPr>
              <w:t xml:space="preserve">IMS.4.f</w:t>
            </w:r>
          </w:p>
        </w:tc>
        <w:tc>
          <w:tcPr>
            <w:vAlign w:val="center"/>
          </w:tcPr>
          <w:p>
            <w:r>
              <w:rPr>
                <w:b w:val="false"/>
                <w:bCs w:val="false"/>
              </w:rPr>
              <w:t xml:space="preserve">Signed discharge summary in record</w:t>
            </w:r>
          </w:p>
        </w:tc>
        <w:tc>
          <w:tcPr>
            <w:vAlign w:val="center"/>
          </w:tcPr>
          <w:p>
            <w:r>
              <w:rPr>
                <w:b w:val="false"/>
                <w:bCs w:val="false"/>
              </w:rPr>
              <w:t xml:space="preserve">Commitment</w:t>
            </w:r>
          </w:p>
        </w:tc>
        <w:tc>
          <w:tcPr>
            <w:vAlign w:val="center"/>
          </w:tcPr>
          <w:p>
            <w:r>
              <w:rPr>
                <w:b w:val="false"/>
                <w:bCs w:val="false"/>
              </w:rPr>
              <w:t xml:space="preserve">Section 5.6</w:t>
            </w:r>
          </w:p>
        </w:tc>
        <w:tc>
          <w:tcPr>
            <w:vAlign w:val="center"/>
          </w:tcPr>
          <w:p>
            <w:r>
              <w:rPr>
                <w:b w:val="false"/>
                <w:bCs w:val="false"/>
              </w:rPr>
              <w:t xml:space="preserve">Treating Doctor / Care Team</w:t>
            </w:r>
          </w:p>
        </w:tc>
      </w:tr>
      <w:tr>
        <w:tc>
          <w:tcPr>
            <w:vAlign w:val="center"/>
          </w:tcPr>
          <w:p>
            <w:r>
              <w:rPr>
                <w:b w:val="false"/>
                <w:bCs w:val="false"/>
              </w:rPr>
              <w:t xml:space="preserve">IMS.4.g</w:t>
            </w:r>
          </w:p>
        </w:tc>
        <w:tc>
          <w:tcPr>
            <w:vAlign w:val="center"/>
          </w:tcPr>
          <w:p>
            <w:r>
              <w:rPr>
                <w:b w:val="false"/>
                <w:bCs w:val="false"/>
              </w:rPr>
              <w:t xml:space="preserve">Medical certificate of cause of death in record</w:t>
            </w:r>
          </w:p>
        </w:tc>
        <w:tc>
          <w:tcPr>
            <w:vAlign w:val="center"/>
          </w:tcPr>
          <w:p>
            <w:r>
              <w:rPr>
                <w:b w:val="false"/>
                <w:bCs w:val="false"/>
              </w:rPr>
              <w:t xml:space="preserve">Commitment</w:t>
            </w:r>
          </w:p>
        </w:tc>
        <w:tc>
          <w:tcPr>
            <w:vAlign w:val="center"/>
          </w:tcPr>
          <w:p>
            <w:r>
              <w:rPr>
                <w:b w:val="false"/>
                <w:bCs w:val="false"/>
              </w:rPr>
              <w:t xml:space="preserve">Section 5.7</w:t>
            </w:r>
          </w:p>
        </w:tc>
        <w:tc>
          <w:tcPr>
            <w:vAlign w:val="center"/>
          </w:tcPr>
          <w:p>
            <w:r>
              <w:rPr>
                <w:b w:val="false"/>
                <w:bCs w:val="false"/>
              </w:rPr>
              <w:t xml:space="preserve">Treating Doctor / Care Team</w:t>
            </w:r>
          </w:p>
        </w:tc>
      </w:tr>
      <w:tr>
        <w:tc>
          <w:tcPr>
            <w:vAlign w:val="center"/>
          </w:tcPr>
          <w:p>
            <w:r>
              <w:rPr>
                <w:b w:val="false"/>
                <w:bCs w:val="false"/>
              </w:rPr>
              <w:t xml:space="preserve">IMS.4.h</w:t>
            </w:r>
          </w:p>
        </w:tc>
        <w:tc>
          <w:tcPr>
            <w:vAlign w:val="center"/>
          </w:tcPr>
          <w:p>
            <w:r>
              <w:rPr>
                <w:b w:val="false"/>
                <w:bCs w:val="false"/>
              </w:rPr>
              <w:t xml:space="preserve">Care providers have access to current/past record</w:t>
            </w:r>
          </w:p>
        </w:tc>
        <w:tc>
          <w:tcPr>
            <w:vAlign w:val="center"/>
          </w:tcPr>
          <w:p>
            <w:r>
              <w:rPr>
                <w:b w:val="false"/>
                <w:bCs w:val="false"/>
              </w:rPr>
              <w:t xml:space="preserve">Commitment</w:t>
            </w:r>
          </w:p>
        </w:tc>
        <w:tc>
          <w:tcPr>
            <w:vAlign w:val="center"/>
          </w:tcPr>
          <w:p>
            <w:r>
              <w:rPr>
                <w:b w:val="false"/>
                <w:bCs w:val="false"/>
              </w:rPr>
              <w:t xml:space="preserve">Section 5.8</w:t>
            </w:r>
          </w:p>
        </w:tc>
        <w:tc>
          <w:tcPr>
            <w:vAlign w:val="center"/>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IMS.4.a — Admission, diagnosis, care plan.</w:t>
      </w:r>
    </w:p>
    <w:p>
      <w:pPr>
        <w:pStyle w:val="ListParagraph"/>
        <w:numPr>
          <w:ilvl w:val="0"/>
          <w:numId w:val="1"/>
        </w:numPr>
        <w:spacing w:after="100"/>
      </w:pPr>
      <w:r>
        <w:t xml:space="preserve">Documented diagnosis record by the treating doctor/team, coded per ICD/SNOMED CT in the medical records department.</w:t>
      </w:r>
    </w:p>
    <w:p>
      <w:pPr>
        <w:pStyle w:val="Heading2"/>
        <w:spacing w:after="100" w:before="160"/>
      </w:pPr>
      <w:r>
        <w:t xml:space="preserve">IMS.4.b — Assessments/consultations.</w:t>
      </w:r>
    </w:p>
    <w:p>
      <w:pPr>
        <w:pStyle w:val="ListParagraph"/>
        <w:numPr>
          <w:ilvl w:val="0"/>
          <w:numId w:val="1"/>
        </w:numPr>
        <w:spacing w:after="100"/>
      </w:pPr>
      <w:r>
        <w:t xml:space="preserve">Medical, nursing, rehabilitation, physiotherapy and nutrition assessment records in the file.</w:t>
      </w:r>
    </w:p>
    <w:p>
      <w:pPr>
        <w:pStyle w:val="Heading2"/>
        <w:spacing w:after="100" w:before="160"/>
      </w:pPr>
      <w:r>
        <w:t xml:space="preserve">IMS.4.c — Investigations and care.</w:t>
      </w:r>
    </w:p>
    <w:p>
      <w:pPr>
        <w:pStyle w:val="ListParagraph"/>
        <w:numPr>
          <w:ilvl w:val="0"/>
          <w:numId w:val="1"/>
        </w:numPr>
        <w:spacing w:after="100"/>
      </w:pPr>
      <w:r>
        <w:t xml:space="preserve">Investigation-result records and care-provided documentation in physical/electronic form.</w:t>
      </w:r>
    </w:p>
    <w:p>
      <w:pPr>
        <w:pStyle w:val="Heading2"/>
        <w:spacing w:after="100" w:before="160"/>
      </w:pPr>
      <w:r>
        <w:t xml:space="preserve">IMS.4.d — Operative/other procedures.</w:t>
      </w:r>
    </w:p>
    <w:p>
      <w:pPr>
        <w:pStyle w:val="ListParagraph"/>
        <w:numPr>
          <w:ilvl w:val="0"/>
          <w:numId w:val="1"/>
        </w:numPr>
        <w:spacing w:after="100"/>
      </w:pPr>
      <w:r>
        <w:t xml:space="preserve">Procedure-name and detail record incorporated in the medical record.</w:t>
      </w:r>
    </w:p>
    <w:p>
      <w:pPr>
        <w:pStyle w:val="Heading2"/>
        <w:spacing w:after="100" w:before="160"/>
      </w:pPr>
      <w:r>
        <w:t xml:space="preserve">IMS.4.e — Transfer details.</w:t>
      </w:r>
    </w:p>
    <w:p>
      <w:pPr>
        <w:pStyle w:val="ListParagraph"/>
        <w:numPr>
          <w:ilvl w:val="0"/>
          <w:numId w:val="1"/>
        </w:numPr>
        <w:spacing w:after="100"/>
      </w:pPr>
      <w:r>
        <w:t xml:space="preserve">Transfer record — date, reason, receiving organisation, pre-transfer clinical condition — and patient-requested-transfer note where applicable.</w:t>
      </w:r>
    </w:p>
    <w:p>
      <w:pPr>
        <w:pStyle w:val="Heading2"/>
        <w:spacing w:after="100" w:before="160"/>
      </w:pPr>
      <w:r>
        <w:t xml:space="preserve">IMS.4.f — Discharge summary.</w:t>
      </w:r>
    </w:p>
    <w:p>
      <w:pPr>
        <w:pStyle w:val="ListParagraph"/>
        <w:numPr>
          <w:ilvl w:val="0"/>
          <w:numId w:val="1"/>
        </w:numPr>
        <w:spacing w:after="100"/>
      </w:pPr>
      <w:r>
        <w:t xml:space="preserve">Signed (or electronically signed) discharge summary record in the file.</w:t>
      </w:r>
    </w:p>
    <w:p>
      <w:pPr>
        <w:pStyle w:val="Heading2"/>
        <w:spacing w:after="100" w:before="160"/>
      </w:pPr>
      <w:r>
        <w:t xml:space="preserve">IMS.4.g — Cause of death.</w:t>
      </w:r>
    </w:p>
    <w:p>
      <w:pPr>
        <w:pStyle w:val="ListParagraph"/>
        <w:numPr>
          <w:ilvl w:val="0"/>
          <w:numId w:val="1"/>
        </w:numPr>
        <w:spacing w:after="100"/>
      </w:pPr>
      <w:r>
        <w:t xml:space="preserve">Medical certificate of cause of death, WHO-classification-coded, following the Registrar General's Physicians' Manual.</w:t>
      </w:r>
    </w:p>
    <w:p>
      <w:pPr>
        <w:pStyle w:val="Heading2"/>
        <w:spacing w:after="100" w:before="160"/>
      </w:pPr>
      <w:r>
        <w:t xml:space="preserve">IMS.4.h — Care provider access.</w:t>
      </w:r>
    </w:p>
    <w:p>
      <w:pPr>
        <w:pStyle w:val="ListParagraph"/>
        <w:numPr>
          <w:ilvl w:val="0"/>
          <w:numId w:val="1"/>
        </w:numPr>
        <w:spacing w:after="100"/>
      </w:pPr>
      <w:r>
        <w:t xml:space="preserve">User ID/password access record for electronic systems, and after-hours physical-record access/retrieval record.</w:t>
      </w:r>
    </w:p>
    <w:p>
      <w:pPr>
        <w:pStyle w:val="ListParagraph"/>
        <w:numPr>
          <w:ilvl w:val="0"/>
          <w:numId w:val="1"/>
        </w:numPr>
        <w:spacing w:after="100"/>
      </w:pPr>
      <w:r>
        <w:t xml:space="preserve">Emergency-room record-retrieval confirmation for existing hospital patients.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IMS.4, "The medical record reflects the continuity of care."</w:t>
      </w:r>
    </w:p>
    <w:p>
      <w:pPr>
        <w:pStyle w:val="ListParagraph"/>
        <w:numPr>
          <w:ilvl w:val="0"/>
          <w:numId w:val="1"/>
        </w:numPr>
        <w:spacing w:after="100"/>
      </w:pPr>
      <w:r>
        <w:t xml:space="preserve">Physicians' Manual on Medical Certification of Cause of Death, Office of the Registrar General, Ministry of Home Affairs, Government of India.</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2026-09-05T10:03:12.495Z</dcterms:created>
  <dcterms:modified xsi:type="dcterms:W3CDTF">2026-09-05T10:03:12.495Z</dcterms:modified>
</cp:coreProperties>
</file>

<file path=docProps/custom.xml><?xml version="1.0" encoding="utf-8"?>
<Properties xmlns="http://schemas.openxmlformats.org/officeDocument/2006/custom-properties" xmlns:vt="http://schemas.openxmlformats.org/officeDocument/2006/docPropsVTypes"/>
</file>