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Policy on Confidentiality, Integrity and Security of Records, Data and Information</w:t>
      </w:r>
    </w:p>
    <w:p>
      <w:pPr>
        <w:spacing w:after="160"/>
      </w:pPr>
      <w:r>
        <w:t xml:space="preserve">«Hospital Name»</w:t>
      </w:r>
    </w:p>
    <w:p>
      <w:pPr>
        <w:pStyle w:val="Heading1"/>
        <w:spacing w:after="120" w:before="240"/>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vAlign w:val="center"/>
          </w:tcPr>
          <w:p>
            <w:r>
              <w:rPr>
                <w:b/>
                <w:bCs/>
              </w:rPr>
              <w:t xml:space="preserve">Document No./Version</w:t>
            </w:r>
          </w:p>
        </w:tc>
        <w:tc>
          <w:tcPr>
            <w:tcW w:type="pct" w:w="25%"/>
            <w:vAlign w:val="center"/>
          </w:tcPr>
          <w:p>
            <w:r>
              <w:rPr>
                <w:b w:val="false"/>
                <w:bCs w:val="false"/>
              </w:rPr>
              <w:t xml:space="preserve">________ / 1.0</w:t>
            </w:r>
          </w:p>
        </w:tc>
        <w:tc>
          <w:tcPr>
            <w:tcW w:type="pct" w:w="25%"/>
            <w:vAlign w:val="center"/>
          </w:tcPr>
          <w:p>
            <w:r>
              <w:rPr>
                <w:b/>
                <w:bCs/>
              </w:rPr>
              <w:t xml:space="preserve">Issue No./Review due</w:t>
            </w:r>
          </w:p>
        </w:tc>
        <w:tc>
          <w:tcPr>
            <w:tcW w:type="pct" w:w="25%"/>
            <w:vAlign w:val="center"/>
          </w:tcPr>
          <w:p>
            <w:r>
              <w:rPr>
                <w:b w:val="false"/>
                <w:bCs w:val="false"/>
              </w:rPr>
              <w:t xml:space="preserve">01 / One year from implementation</w:t>
            </w:r>
          </w:p>
        </w:tc>
      </w:tr>
      <w:tr>
        <w:tc>
          <w:tcPr>
            <w:vAlign w:val="center"/>
          </w:tcPr>
          <w:p>
            <w:r>
              <w:rPr>
                <w:b/>
                <w:bCs/>
              </w:rPr>
              <w:t xml:space="preserve">Date created</w:t>
            </w:r>
          </w:p>
        </w:tc>
        <w:tc>
          <w:tcPr>
            <w:vAlign w:val="center"/>
          </w:tcPr>
          <w:p>
            <w:r>
              <w:rPr>
                <w:b w:val="false"/>
                <w:bCs w:val="false"/>
              </w:rPr>
              <w:t xml:space="preserve">________</w:t>
            </w:r>
          </w:p>
        </w:tc>
        <w:tc>
          <w:tcPr>
            <w:vAlign w:val="center"/>
          </w:tcPr>
          <w:p>
            <w:r>
              <w:rPr>
                <w:b/>
                <w:bCs/>
              </w:rPr>
              <w:t xml:space="preserve">Date of implementation</w:t>
            </w:r>
          </w:p>
        </w:tc>
        <w:tc>
          <w:tcPr>
            <w:vAlign w:val="center"/>
          </w:tcPr>
          <w:p>
            <w:r>
              <w:rPr>
                <w:b w:val="false"/>
                <w:bCs w:val="false"/>
              </w:rPr>
              <w:t xml:space="preserve">________</w:t>
            </w:r>
          </w:p>
        </w:tc>
      </w:tr>
      <w:tr>
        <w:tc>
          <w:tcPr>
            <w:vAlign w:val="center"/>
          </w:tcPr>
          <w:p>
            <w:r>
              <w:rPr>
                <w:b/>
                <w:bCs/>
              </w:rPr>
              <w:t xml:space="preserve">Prepared by</w:t>
            </w:r>
          </w:p>
        </w:tc>
        <w:tc>
          <w:tcPr>
            <w:gridSpan w:val="3"/>
            <w:vAlign w:val="center"/>
          </w:tcPr>
          <w:p>
            <w:r>
              <w:rPr>
                <w:b w:val="false"/>
                <w:bCs w:val="false"/>
              </w:rPr>
              <w:t xml:space="preserve">IT/MIS In-Charge  Name: ________  Signature: ________</w:t>
            </w:r>
          </w:p>
        </w:tc>
      </w:tr>
      <w:tr>
        <w:tc>
          <w:tcPr>
            <w:vAlign w:val="center"/>
          </w:tcPr>
          <w:p>
            <w:r>
              <w:rPr>
                <w:b/>
                <w:bCs/>
              </w:rPr>
              <w:t xml:space="preserve">Reviewed by</w:t>
            </w:r>
          </w:p>
        </w:tc>
        <w:tc>
          <w:tcPr>
            <w:gridSpan w:val="3"/>
            <w:vAlign w:val="center"/>
          </w:tcPr>
          <w:p>
            <w:r>
              <w:rPr>
                <w:b w:val="false"/>
                <w:bCs w:val="false"/>
              </w:rPr>
              <w:t xml:space="preserve">Quality Coordinator  Name: ________  Signature: ________</w:t>
            </w:r>
          </w:p>
        </w:tc>
      </w:tr>
      <w:tr>
        <w:tc>
          <w:tcPr>
            <w:vAlign w:val="center"/>
          </w:tcPr>
          <w:p>
            <w:r>
              <w:rPr>
                <w:b/>
                <w:bCs/>
              </w:rPr>
              <w:t xml:space="preserve">Approved by</w:t>
            </w:r>
          </w:p>
        </w:tc>
        <w:tc>
          <w:tcPr>
            <w:gridSpan w:val="3"/>
            <w:vAlign w:val="center"/>
          </w:tcPr>
          <w:p>
            <w:r>
              <w:rPr>
                <w:b w:val="false"/>
                <w:bCs w:val="false"/>
              </w:rPr>
              <w:t xml:space="preserve">Medical Superintendent  Name: ________  Signature: ________</w:t>
            </w:r>
          </w:p>
        </w:tc>
      </w:tr>
    </w:tbl>
    <w:p>
      <w:pPr>
        <w:pStyle w:val="Heading1"/>
        <w:spacing w:after="120" w:before="240"/>
      </w:pPr>
      <w:r>
        <w:t xml:space="preserve">Statement of intent</w:t>
      </w:r>
    </w:p>
    <w:p>
      <w:pPr>
        <w:spacing w:after="160"/>
      </w:pPr>
      <w:r>
        <w:t xml:space="preserve">«Hospital Name» maintains the confidentiality, integrity and security of records, data and information, protecting them from unauthorised access, tampering, loss or destruction.</w:t>
      </w:r>
    </w:p>
    <w:p>
      <w:pPr>
        <w:pStyle w:val="Heading1"/>
        <w:spacing w:after="120" w:before="240"/>
      </w:pPr>
      <w:r>
        <w:t xml:space="preserve">1. Purpose</w:t>
      </w:r>
    </w:p>
    <w:p>
      <w:pPr>
        <w:spacing w:after="160"/>
      </w:pPr>
      <w:r>
        <w:t xml:space="preserve">This policy sets out how «Hospital Name» maintains confidentiality of records, data and information; maintains their integrity; maintains their security; uses developments in technology to improve all three; discloses privileged health information only as authorised or required by law; and addresses requests for access to information in the medical records.</w:t>
      </w:r>
    </w:p>
    <w:p>
      <w:pPr>
        <w:spacing w:after="160"/>
      </w:pPr>
      <w:r>
        <w:t xml:space="preserve">This policy does not cover medical record content, document control, or retention and destruction of records — those are covered in other hospital policies. The other IMS standards have their own policies too.</w:t>
      </w:r>
    </w:p>
    <w:p>
      <w:pPr>
        <w:pStyle w:val="Heading1"/>
        <w:spacing w:after="120" w:before="240"/>
      </w:pPr>
      <w:r>
        <w:t xml:space="preserve">2. Scope</w:t>
      </w:r>
    </w:p>
    <w:p>
      <w:pPr>
        <w:spacing w:after="160"/>
      </w:pPr>
      <w:r>
        <w:t xml:space="preserve">This policy applies to all records, data and information held by «Hospital Name», in physical and electronic form.</w:t>
      </w:r>
    </w:p>
    <w:p>
      <w:pPr>
        <w:pStyle w:val="Heading1"/>
        <w:spacing w:after="120" w:before="240"/>
      </w:pPr>
      <w:r>
        <w:t xml:space="preserve">3. Policy standards</w:t>
      </w:r>
    </w:p>
    <w:p>
      <w:pPr>
        <w:spacing w:after="160"/>
      </w:pPr>
      <w:r>
        <w:t xml:space="preserve">«Hospital Name» maintains the confidentiality of records, data and information.</w:t>
      </w:r>
    </w:p>
    <w:p>
      <w:pPr>
        <w:spacing w:after="160"/>
      </w:pPr>
      <w:r>
        <w:t xml:space="preserve">«Hospital Name» maintains the integrity of records, data and information.</w:t>
      </w:r>
    </w:p>
    <w:p>
      <w:pPr>
        <w:spacing w:after="160"/>
      </w:pPr>
      <w:r>
        <w:t xml:space="preserve">«Hospital Name» maintains the security of records, data and information.</w:t>
      </w:r>
    </w:p>
    <w:p>
      <w:pPr>
        <w:spacing w:after="160"/>
      </w:pPr>
      <w:r>
        <w:t xml:space="preserve">«Hospital Name» uses developments in appropriate technology for improving confidentiality, integrity and security.</w:t>
      </w:r>
    </w:p>
    <w:p>
      <w:pPr>
        <w:spacing w:after="160"/>
      </w:pPr>
      <w:r>
        <w:t xml:space="preserve">«Hospital Name» discloses privileged health information as authorised by the patient and/or as required by law.</w:t>
      </w:r>
    </w:p>
    <w:p>
      <w:pPr>
        <w:spacing w:after="160"/>
      </w:pPr>
      <w:r>
        <w:t xml:space="preserve">«Hospital Name» addresses requests for access to information in the medical records by patients, physicians and other public agencies consistently.</w:t>
      </w:r>
    </w:p>
    <w:p>
      <w:pPr>
        <w:pStyle w:val="Heading1"/>
        <w:spacing w:after="120" w:before="240"/>
      </w:pPr>
      <w:r>
        <w:t xml:space="preserve">4. Non-negotiable rules</w:t>
      </w:r>
    </w:p>
    <w:p>
      <w:pPr>
        <w:pStyle w:val="ListParagraph"/>
        <w:numPr>
          <w:ilvl w:val="0"/>
          <w:numId w:val="2"/>
        </w:numPr>
        <w:spacing w:after="120"/>
      </w:pPr>
      <w:r>
        <w:t xml:space="preserve">1. Do not allow anyone other than authorised persons access to the contents of a record — access must align with applicable law.</w:t>
      </w:r>
    </w:p>
    <w:p>
      <w:pPr>
        <w:pStyle w:val="ListParagraph"/>
        <w:numPr>
          <w:ilvl w:val="0"/>
          <w:numId w:val="2"/>
        </w:numPr>
        <w:spacing w:after="120"/>
      </w:pPr>
      <w:r>
        <w:t xml:space="preserve">2. Do not allow an entry in a record or in data to be tampered with, corrected, or overwritten outside the organisation's defined written guidance, and always keep a system to track changes made.</w:t>
      </w:r>
    </w:p>
    <w:p>
      <w:pPr>
        <w:pStyle w:val="ListParagraph"/>
        <w:numPr>
          <w:ilvl w:val="0"/>
          <w:numId w:val="2"/>
        </w:numPr>
        <w:spacing w:after="120"/>
      </w:pPr>
      <w:r>
        <w:t xml:space="preserve">3. Do not leave records, data or information unprotected against loss or destruction — including pest/rodent control for physical records and virus/backup protection for electronic data.</w:t>
      </w:r>
    </w:p>
    <w:p>
      <w:pPr>
        <w:pStyle w:val="ListParagraph"/>
        <w:numPr>
          <w:ilvl w:val="0"/>
          <w:numId w:val="2"/>
        </w:numPr>
        <w:spacing w:after="120"/>
      </w:pPr>
      <w:r>
        <w:t xml:space="preserve">4. Do not leave confidentiality, integrity and security technology unreviewed for improvement opportunities — including safeguarding patient data generated from medical equipment.</w:t>
      </w:r>
    </w:p>
    <w:p>
      <w:pPr>
        <w:pStyle w:val="ListParagraph"/>
        <w:numPr>
          <w:ilvl w:val="0"/>
          <w:numId w:val="2"/>
        </w:numPr>
        <w:spacing w:after="120"/>
      </w:pPr>
      <w:r>
        <w:t xml:space="preserve">5. Do not disclose privileged health information without the patient's written authorisation or a legal requirement to do so.</w:t>
      </w:r>
    </w:p>
    <w:p>
      <w:pPr>
        <w:pStyle w:val="ListParagraph"/>
        <w:numPr>
          <w:ilvl w:val="0"/>
          <w:numId w:val="2"/>
        </w:numPr>
        <w:spacing w:after="120"/>
      </w:pPr>
      <w:r>
        <w:t xml:space="preserve">6. Do not deny a patient, physician or public agency access to medical record information except where a licensed healthcare professional's opinion is that release would endanger the life or safety of patients or others.</w:t>
      </w:r>
    </w:p>
    <w:p>
      <w:pPr>
        <w:pStyle w:val="ListParagraph"/>
        <w:numPr>
          <w:ilvl w:val="0"/>
          <w:numId w:val="2"/>
        </w:numPr>
        <w:spacing w:after="120"/>
      </w:pPr>
      <w:r>
        <w:t xml:space="preserve">7. Staff who see a rule under this policy broken report it the same shift to the IT/MIS In-Charge or the Medical Superintendent.</w:t>
      </w:r>
    </w:p>
    <w:p>
      <w:pPr>
        <w:pStyle w:val="Heading1"/>
        <w:spacing w:after="120" w:before="240"/>
      </w:pPr>
      <w:r>
        <w:t xml:space="preserve">5. What we do</w:t>
      </w:r>
    </w:p>
    <w:p>
      <w:pPr>
        <w:pStyle w:val="Heading2"/>
        <w:spacing w:after="100" w:before="160"/>
      </w:pPr>
      <w:r>
        <w:t xml:space="preserve">5.1 Confidentiality</w:t>
      </w:r>
    </w:p>
    <w:p>
      <w:pPr>
        <w:spacing w:after="160"/>
      </w:pPr>
      <w:r>
        <w:t xml:space="preserve">«Hospital Name» ensures only authorised persons have access to the contents of a record, aligned with applicable law. Access to the medical records department and the Hospital Information System is controlled; electronic-system access differs by personnel type and is specific to that user. Physical records use a tracer card for tracking movement in and out of the medical records department. Records and data are not taken out of the areas where they are stored; electronic information cannot be copied at any location. Authentication, access control and automatic log-off features protect data privacy and security; ideally, only clinical care providers have access rights to a person's clinical records.</w:t>
      </w:r>
    </w:p>
    <w:p>
      <w:pPr>
        <w:pStyle w:val="Heading2"/>
        <w:spacing w:after="100" w:before="160"/>
      </w:pPr>
      <w:r>
        <w:t xml:space="preserve">5.2 Integrity</w:t>
      </w:r>
    </w:p>
    <w:p>
      <w:pPr>
        <w:spacing w:after="160"/>
      </w:pPr>
      <w:r>
        <w:t xml:space="preserve">«Hospital Name» ensures entries in records, data and information are not tampered with. Corrections are made only in accordance with the organisation's defined written guidance, which addresses how entries in the patient record are corrected or overwritten. «Hospital Name» maintains a system to track changes made in records or data.</w:t>
      </w:r>
    </w:p>
    <w:p>
      <w:pPr>
        <w:pStyle w:val="Heading2"/>
        <w:spacing w:after="100" w:before="160"/>
      </w:pPr>
      <w:r>
        <w:t xml:space="preserve">5.3 Security</w:t>
      </w:r>
    </w:p>
    <w:p>
      <w:pPr>
        <w:spacing w:after="160"/>
      </w:pPr>
      <w:r>
        <w:t xml:space="preserve">«Hospital Name» protects records, data and information against loss and destruction. Physical records are protected through adequate pest and rodent control measures, storage in fire-safe cabinets or areas with adequate and appropriate fire-fighting equipment. Electronic data is protected against viruses and trojans through a proper backup procedure and preventive measures against cyber-attacks. Confidential patient data — for example lab reports — is communicated through a secure messaging platform.</w:t>
      </w:r>
    </w:p>
    <w:p>
      <w:pPr>
        <w:pStyle w:val="Heading2"/>
        <w:spacing w:after="100" w:before="160"/>
      </w:pPr>
      <w:r>
        <w:t xml:space="preserve">5.4 Technology for confidentiality, integrity and security</w:t>
      </w:r>
    </w:p>
    <w:p>
      <w:pPr>
        <w:spacing w:after="160"/>
      </w:pPr>
      <w:r>
        <w:t xml:space="preserve">«Hospital Name» reviews and updates its technological features to improve confidentiality, integrity and security of information — for example moving from physical to electronic format, or remote backup of data. A mechanism safeguards patient data generated from medical equipment and its access to authorised people, including disabling USB ports of medical devices, restricting remote access and downloading of patient data, and regularly updating anti-virus software installed in medical equipment. Patient data backup from medical equipment is done on a timely basis. This may be based on findings from a risk assessment.</w:t>
      </w:r>
    </w:p>
    <w:p>
      <w:pPr>
        <w:pStyle w:val="Heading2"/>
        <w:spacing w:after="100" w:before="160"/>
      </w:pPr>
      <w:r>
        <w:t xml:space="preserve">5.5 Disclosure of privileged health information</w:t>
      </w:r>
    </w:p>
    <w:p>
      <w:pPr>
        <w:spacing w:after="160"/>
      </w:pPr>
      <w:r>
        <w:t xml:space="preserve">«Hospital Name» discloses privileged health information only as authorised by the patient — obtained in writing — and/or as required by law. Special care is taken in medico-legal cases and other special situations identified by the government and the organisation.</w:t>
      </w:r>
    </w:p>
    <w:p>
      <w:pPr>
        <w:pStyle w:val="Heading2"/>
        <w:spacing w:after="100" w:before="160"/>
      </w:pPr>
      <w:r>
        <w:t xml:space="preserve">5.6 Access requests</w:t>
      </w:r>
    </w:p>
    <w:p>
      <w:pPr>
        <w:spacing w:after="160"/>
      </w:pPr>
      <w:r>
        <w:t xml:space="preserve">Requests for access to information in the medical records — by patients, physicians and other public agencies — are addressed consistently at «Hospital Name». Release of information to patients follows the Code of Medical Ethics, 2002. Grievances concerning right-to-information requests are addressed by the government and other applicable bodies, per written guidance. Denial of information is permitted only where, in the opinion of a licensed healthcare professional, release would endanger the life or safety of patients or others. Requests from physicians for access to records of patients they treated are addressed per the written guidance.</w:t>
      </w:r>
    </w:p>
    <w:p>
      <w:pPr>
        <w:pStyle w:val="Heading1"/>
        <w:spacing w:after="120" w:before="240"/>
      </w:pPr>
      <w:r>
        <w:t xml:space="preserve">6. Governance and responsibility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D9E2F3" w:val="clear"/>
            <w:vAlign w:val="center"/>
          </w:tcPr>
          <w:p>
            <w:r>
              <w:rPr>
                <w:b/>
                <w:bCs/>
              </w:rPr>
              <w:t xml:space="preserve">Role</w:t>
            </w:r>
          </w:p>
        </w:tc>
        <w:tc>
          <w:tcPr>
            <w:tcW w:type="pct" w:w="65%"/>
            <w:shd w:fill="D9E2F3" w:val="clear"/>
            <w:vAlign w:val="center"/>
          </w:tcPr>
          <w:p>
            <w:r>
              <w:rPr>
                <w:b/>
                <w:bCs/>
              </w:rPr>
              <w:t xml:space="preserve">Responsibility</w:t>
            </w:r>
          </w:p>
        </w:tc>
      </w:tr>
      <w:tr>
        <w:tc>
          <w:tcPr>
            <w:tcW w:type="pct" w:w="35%"/>
            <w:vAlign w:val="center"/>
          </w:tcPr>
          <w:p>
            <w:r>
              <w:rPr>
                <w:b w:val="false"/>
                <w:bCs w:val="false"/>
              </w:rPr>
              <w:t xml:space="preserve">IT/MIS In-Charge</w:t>
            </w:r>
          </w:p>
        </w:tc>
        <w:tc>
          <w:tcPr>
            <w:tcW w:type="pct" w:w="65%"/>
            <w:vAlign w:val="center"/>
          </w:tcPr>
          <w:p>
            <w:r>
              <w:rPr>
                <w:b w:val="false"/>
                <w:bCs w:val="false"/>
              </w:rPr>
              <w:t xml:space="preserve">Owns this policy. Maintains access control, encryption/backup, and audit-trail systems.</w:t>
            </w:r>
          </w:p>
        </w:tc>
      </w:tr>
      <w:tr>
        <w:tc>
          <w:tcPr>
            <w:tcW w:type="pct" w:w="35%"/>
            <w:vAlign w:val="center"/>
          </w:tcPr>
          <w:p>
            <w:r>
              <w:rPr>
                <w:b w:val="false"/>
                <w:bCs w:val="false"/>
              </w:rPr>
              <w:t xml:space="preserve">Medical Records In-Charge</w:t>
            </w:r>
          </w:p>
        </w:tc>
        <w:tc>
          <w:tcPr>
            <w:tcW w:type="pct" w:w="65%"/>
            <w:vAlign w:val="center"/>
          </w:tcPr>
          <w:p>
            <w:r>
              <w:rPr>
                <w:b w:val="false"/>
                <w:bCs w:val="false"/>
              </w:rPr>
              <w:t xml:space="preserve">Controls physical access to the medical records department and manages tracer-card use.</w:t>
            </w:r>
          </w:p>
        </w:tc>
      </w:tr>
      <w:tr>
        <w:tc>
          <w:tcPr>
            <w:tcW w:type="pct" w:w="35%"/>
            <w:vAlign w:val="center"/>
          </w:tcPr>
          <w:p>
            <w:r>
              <w:rPr>
                <w:b w:val="false"/>
                <w:bCs w:val="false"/>
              </w:rPr>
              <w:t xml:space="preserve">Medical Superintendent</w:t>
            </w:r>
          </w:p>
        </w:tc>
        <w:tc>
          <w:tcPr>
            <w:tcW w:type="pct" w:w="65%"/>
            <w:vAlign w:val="center"/>
          </w:tcPr>
          <w:p>
            <w:r>
              <w:rPr>
                <w:b w:val="false"/>
                <w:bCs w:val="false"/>
              </w:rPr>
              <w:t xml:space="preserve">Oversees implementation of this policy. Decides on denial-of-information cases with clinical opinion.</w:t>
            </w:r>
          </w:p>
        </w:tc>
      </w:tr>
      <w:tr>
        <w:tc>
          <w:tcPr>
            <w:tcW w:type="pct" w:w="35%"/>
            <w:vAlign w:val="center"/>
          </w:tcPr>
          <w:p>
            <w:r>
              <w:rPr>
                <w:b w:val="false"/>
                <w:bCs w:val="false"/>
              </w:rPr>
              <w:t xml:space="preserve">All Staff</w:t>
            </w:r>
          </w:p>
        </w:tc>
        <w:tc>
          <w:tcPr>
            <w:tcW w:type="pct" w:w="65%"/>
            <w:vAlign w:val="center"/>
          </w:tcPr>
          <w:p>
            <w:r>
              <w:rPr>
                <w:b w:val="false"/>
                <w:bCs w:val="false"/>
              </w:rPr>
              <w:t xml:space="preserve">Follow access-control and confidentiality procedures. Report identified risks and rule breaches.</w:t>
            </w:r>
          </w:p>
        </w:tc>
      </w:tr>
    </w:tbl>
    <w:p>
      <w:pPr>
        <w:pStyle w:val="Heading1"/>
        <w:spacing w:after="120" w:before="240"/>
      </w:pPr>
      <w:r>
        <w:t xml:space="preserve">7. Quality monitoring</w:t>
      </w:r>
    </w:p>
    <w:p>
      <w:pPr>
        <w:spacing w:after="160"/>
      </w:pPr>
      <w:r>
        <w:t xml:space="preserve">The IT/MIS In-Charge reviews access logs, backup/security incident records, and change-tracking logs. Documentary evidence is on file for each CORE objective element and each asterisked objective element (marked CORE and * respectively in the Level column of Section 12, Traceability table).</w:t>
      </w:r>
    </w:p>
    <w:p>
      <w:pPr>
        <w:pStyle w:val="Heading1"/>
        <w:spacing w:after="120" w:before="240"/>
      </w:pPr>
      <w:r>
        <w:t xml:space="preserve">8. Training and staff acknowledgement</w:t>
      </w:r>
    </w:p>
    <w:p>
      <w:pPr>
        <w:spacing w:after="160"/>
      </w:pPr>
      <w:r>
        <w:t xml:space="preserve">All staff covered by this policy are trained on confidentiality, access control, and the disclosure/access-request procedures, and sign the acknowledgement below.</w:t>
      </w:r>
    </w:p>
    <w:p>
      <w:pPr>
        <w:spacing w:after="160"/>
      </w:pPr>
      <w:r>
        <w:t xml:space="preserve">Acknowledgement statement:</w:t>
      </w:r>
    </w:p>
    <w:p>
      <w:pPr>
        <w:spacing w:after="160"/>
      </w:pPr>
      <w:r>
        <w:t xml:space="preserve">"I have read the Policy on Confidentiality, Integrity and Security of Records, Data and Information of «Hospital Name». I will follow the processes described."</w:t>
      </w:r>
    </w:p>
    <w:p>
      <w:pPr>
        <w:spacing w:after="160"/>
      </w:pPr>
      <w:r>
        <w:t xml:space="preserve">Signature table (one row per staff member):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E2F3" w:val="clear"/>
            <w:vAlign w:val="center"/>
          </w:tcPr>
          <w:p>
            <w:r>
              <w:rPr>
                <w:b/>
                <w:bCs/>
              </w:rPr>
              <w:t xml:space="preserve">Staff Name</w:t>
            </w:r>
          </w:p>
        </w:tc>
        <w:tc>
          <w:tcPr>
            <w:shd w:fill="D9E2F3" w:val="clear"/>
            <w:vAlign w:val="center"/>
          </w:tcPr>
          <w:p>
            <w:r>
              <w:rPr>
                <w:b/>
                <w:bCs/>
              </w:rPr>
              <w:t xml:space="preserve">Designation</w:t>
            </w:r>
          </w:p>
        </w:tc>
        <w:tc>
          <w:tcPr>
            <w:shd w:fill="D9E2F3" w:val="clear"/>
            <w:vAlign w:val="center"/>
          </w:tcPr>
          <w:p>
            <w:r>
              <w:rPr>
                <w:b/>
                <w:bCs/>
              </w:rPr>
              <w:t xml:space="preserve">Signature</w:t>
            </w:r>
          </w:p>
        </w:tc>
        <w:tc>
          <w:tcPr>
            <w:shd w:fill="D9E2F3" w:val="clear"/>
            <w:vAlign w:val="center"/>
          </w:tcPr>
          <w:p>
            <w:r>
              <w:rPr>
                <w:b/>
                <w:bCs/>
              </w:rPr>
              <w:t xml:space="preserve">Date</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bl>
    <w:p>
      <w:pPr>
        <w:pStyle w:val="Heading1"/>
        <w:spacing w:after="120" w:before="240"/>
      </w:pPr>
      <w:r>
        <w:t xml:space="preserve">9. Distribution</w:t>
      </w:r>
    </w:p>
    <w:p>
      <w:pPr>
        <w:spacing w:after="160"/>
      </w:pPr>
      <w:r>
        <w:t xml:space="preserve">This policy is distributed to the IT/MIS department, the Medical Records department, all department heads/unit in-charges, and is made available to all staff through the hospital intranet and department policy folders.</w:t>
      </w:r>
    </w:p>
    <w:p>
      <w:pPr>
        <w:pStyle w:val="Heading1"/>
        <w:spacing w:after="120" w:before="240"/>
      </w:pPr>
      <w:r>
        <w:t xml:space="preserve">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9E2F3" w:val="clear"/>
            <w:vAlign w:val="center"/>
          </w:tcPr>
          <w:p>
            <w:r>
              <w:rPr>
                <w:b/>
                <w:bCs/>
              </w:rPr>
              <w:t xml:space="preserve">Abbreviation</w:t>
            </w:r>
          </w:p>
        </w:tc>
        <w:tc>
          <w:tcPr>
            <w:tcW w:type="pct" w:w="70%"/>
            <w:shd w:fill="D9E2F3" w:val="clear"/>
            <w:vAlign w:val="center"/>
          </w:tcPr>
          <w:p>
            <w:r>
              <w:rPr>
                <w:b/>
                <w:bCs/>
              </w:rPr>
              <w:t xml:space="preserve">Meaning</w:t>
            </w:r>
          </w:p>
        </w:tc>
      </w:tr>
      <w:tr>
        <w:tc>
          <w:tcPr>
            <w:vAlign w:val="center"/>
          </w:tcPr>
          <w:p>
            <w:r>
              <w:rPr>
                <w:b w:val="false"/>
                <w:bCs w:val="false"/>
              </w:rPr>
              <w:t xml:space="preserve">HCO</w:t>
            </w:r>
          </w:p>
        </w:tc>
        <w:tc>
          <w:tcPr>
            <w:vAlign w:val="center"/>
          </w:tcPr>
          <w:p>
            <w:r>
              <w:rPr>
                <w:b w:val="false"/>
                <w:bCs w:val="false"/>
              </w:rPr>
              <w:t xml:space="preserve">Hospital (Full Accreditation programme under NABH Hospitals 6th Edition)</w:t>
            </w:r>
          </w:p>
        </w:tc>
      </w:tr>
      <w:tr>
        <w:tc>
          <w:tcPr>
            <w:vAlign w:val="center"/>
          </w:tcPr>
          <w:p>
            <w:r>
              <w:rPr>
                <w:b w:val="false"/>
                <w:bCs w:val="false"/>
              </w:rPr>
              <w:t xml:space="preserve">NABH</w:t>
            </w:r>
          </w:p>
        </w:tc>
        <w:tc>
          <w:tcPr>
            <w:vAlign w:val="center"/>
          </w:tcPr>
          <w:p>
            <w:r>
              <w:rPr>
                <w:b w:val="false"/>
                <w:bCs w:val="false"/>
              </w:rPr>
              <w:t xml:space="preserve">National Accreditation Board for Hospitals and Healthcare Providers</w:t>
            </w:r>
          </w:p>
        </w:tc>
      </w:tr>
      <w:tr>
        <w:tc>
          <w:tcPr>
            <w:vAlign w:val="center"/>
          </w:tcPr>
          <w:p>
            <w:r>
              <w:rPr>
                <w:b w:val="false"/>
                <w:bCs w:val="false"/>
              </w:rPr>
              <w:t xml:space="preserve">IMS</w:t>
            </w:r>
          </w:p>
        </w:tc>
        <w:tc>
          <w:tcPr>
            <w:vAlign w:val="center"/>
          </w:tcPr>
          <w:p>
            <w:r>
              <w:rPr>
                <w:b w:val="false"/>
                <w:bCs w:val="false"/>
              </w:rPr>
              <w:t xml:space="preserve">Information Management System (NABH Hospitals 6th Edition chapter)</w:t>
            </w:r>
          </w:p>
        </w:tc>
      </w:tr>
      <w:tr>
        <w:tc>
          <w:tcPr>
            <w:vAlign w:val="center"/>
          </w:tcPr>
          <w:p>
            <w:r>
              <w:rPr>
                <w:b w:val="false"/>
                <w:bCs w:val="false"/>
              </w:rPr>
              <w:t xml:space="preserve">OE</w:t>
            </w:r>
          </w:p>
        </w:tc>
        <w:tc>
          <w:tcPr>
            <w:vAlign w:val="center"/>
          </w:tcPr>
          <w:p>
            <w:r>
              <w:rPr>
                <w:b w:val="false"/>
                <w:bCs w:val="false"/>
              </w:rPr>
              <w:t xml:space="preserve">Objective Element</w:t>
            </w:r>
          </w:p>
        </w:tc>
      </w:tr>
    </w:tbl>
    <w:p>
      <w:pPr>
        <w:pStyle w:val="Heading1"/>
        <w:spacing w:after="120" w:before="240"/>
      </w:pPr>
      <w:r>
        <w:t xml:space="preserve">11. Traceability to NABH HCO Full Accreditation 6th Edition — IMS.5</w:t>
      </w:r>
    </w:p>
    <w:p>
      <w:pPr>
        <w:spacing w:after="160"/>
      </w:pPr>
      <w:r>
        <w:t xml:space="preserve">This table is an index. It is not how the process is organised. An asterisk in the Level column means documentation of the process is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9E2F3" w:val="clear"/>
            <w:vAlign w:val="center"/>
          </w:tcPr>
          <w:p>
            <w:r>
              <w:rPr>
                <w:b/>
                <w:bCs/>
              </w:rPr>
              <w:t xml:space="preserve">OE Code</w:t>
            </w:r>
          </w:p>
        </w:tc>
        <w:tc>
          <w:tcPr>
            <w:shd w:fill="D9E2F3" w:val="clear"/>
            <w:vAlign w:val="center"/>
          </w:tcPr>
          <w:p>
            <w:r>
              <w:rPr>
                <w:b/>
                <w:bCs/>
              </w:rPr>
              <w:t xml:space="preserve">Objective Element (summary)</w:t>
            </w:r>
          </w:p>
        </w:tc>
        <w:tc>
          <w:tcPr>
            <w:shd w:fill="D9E2F3" w:val="clear"/>
            <w:vAlign w:val="center"/>
          </w:tcPr>
          <w:p>
            <w:r>
              <w:rPr>
                <w:b/>
                <w:bCs/>
              </w:rPr>
              <w:t xml:space="preserve">Level</w:t>
            </w:r>
          </w:p>
        </w:tc>
        <w:tc>
          <w:tcPr>
            <w:shd w:fill="D9E2F3" w:val="clear"/>
            <w:vAlign w:val="center"/>
          </w:tcPr>
          <w:p>
            <w:r>
              <w:rPr>
                <w:b/>
                <w:bCs/>
              </w:rPr>
              <w:t xml:space="preserve">Where addressed</w:t>
            </w:r>
          </w:p>
        </w:tc>
        <w:tc>
          <w:tcPr>
            <w:shd w:fill="D9E2F3" w:val="clear"/>
            <w:vAlign w:val="center"/>
          </w:tcPr>
          <w:p>
            <w:r>
              <w:rPr>
                <w:b/>
                <w:bCs/>
              </w:rPr>
              <w:t xml:space="preserve">Responsible</w:t>
            </w:r>
          </w:p>
        </w:tc>
      </w:tr>
      <w:tr>
        <w:tc>
          <w:tcPr>
            <w:vAlign w:val="center"/>
          </w:tcPr>
          <w:p>
            <w:r>
              <w:rPr>
                <w:b w:val="false"/>
                <w:bCs w:val="false"/>
              </w:rPr>
              <w:t xml:space="preserve">IMS.5.a</w:t>
            </w:r>
          </w:p>
        </w:tc>
        <w:tc>
          <w:tcPr>
            <w:vAlign w:val="center"/>
          </w:tcPr>
          <w:p>
            <w:r>
              <w:rPr>
                <w:b w:val="false"/>
                <w:bCs w:val="false"/>
              </w:rPr>
              <w:t xml:space="preserve">Confidentiality of records, data, information maintained</w:t>
            </w:r>
          </w:p>
        </w:tc>
        <w:tc>
          <w:tcPr>
            <w:vAlign w:val="center"/>
          </w:tcPr>
          <w:p>
            <w:r>
              <w:rPr>
                <w:b w:val="false"/>
                <w:bCs w:val="false"/>
              </w:rPr>
              <w:t xml:space="preserve">CORE*</w:t>
            </w:r>
          </w:p>
        </w:tc>
        <w:tc>
          <w:tcPr>
            <w:vAlign w:val="center"/>
          </w:tcPr>
          <w:p>
            <w:r>
              <w:rPr>
                <w:b w:val="false"/>
                <w:bCs w:val="false"/>
              </w:rPr>
              <w:t xml:space="preserve">Section 5.1</w:t>
            </w:r>
          </w:p>
        </w:tc>
        <w:tc>
          <w:tcPr>
            <w:vAlign w:val="center"/>
          </w:tcPr>
          <w:p>
            <w:r>
              <w:rPr>
                <w:b w:val="false"/>
                <w:bCs w:val="false"/>
              </w:rPr>
              <w:t xml:space="preserve">IT/MIS In-Charge</w:t>
            </w:r>
          </w:p>
        </w:tc>
      </w:tr>
      <w:tr>
        <w:tc>
          <w:tcPr>
            <w:vAlign w:val="center"/>
          </w:tcPr>
          <w:p>
            <w:r>
              <w:rPr>
                <w:b w:val="false"/>
                <w:bCs w:val="false"/>
              </w:rPr>
              <w:t xml:space="preserve">IMS.5.b</w:t>
            </w:r>
          </w:p>
        </w:tc>
        <w:tc>
          <w:tcPr>
            <w:vAlign w:val="center"/>
          </w:tcPr>
          <w:p>
            <w:r>
              <w:rPr>
                <w:b w:val="false"/>
                <w:bCs w:val="false"/>
              </w:rPr>
              <w:t xml:space="preserve">Integrity of records, data, information maintained</w:t>
            </w:r>
          </w:p>
        </w:tc>
        <w:tc>
          <w:tcPr>
            <w:vAlign w:val="center"/>
          </w:tcPr>
          <w:p>
            <w:r>
              <w:rPr>
                <w:b w:val="false"/>
                <w:bCs w:val="false"/>
              </w:rPr>
              <w:t xml:space="preserve">CORE</w:t>
            </w:r>
          </w:p>
        </w:tc>
        <w:tc>
          <w:tcPr>
            <w:vAlign w:val="center"/>
          </w:tcPr>
          <w:p>
            <w:r>
              <w:rPr>
                <w:b w:val="false"/>
                <w:bCs w:val="false"/>
              </w:rPr>
              <w:t xml:space="preserve">Section 5.2</w:t>
            </w:r>
          </w:p>
        </w:tc>
        <w:tc>
          <w:tcPr>
            <w:vAlign w:val="center"/>
          </w:tcPr>
          <w:p>
            <w:r>
              <w:rPr>
                <w:b w:val="false"/>
                <w:bCs w:val="false"/>
              </w:rPr>
              <w:t xml:space="preserve">IT/MIS In-Charge</w:t>
            </w:r>
          </w:p>
        </w:tc>
      </w:tr>
      <w:tr>
        <w:tc>
          <w:tcPr>
            <w:vAlign w:val="center"/>
          </w:tcPr>
          <w:p>
            <w:r>
              <w:rPr>
                <w:b w:val="false"/>
                <w:bCs w:val="false"/>
              </w:rPr>
              <w:t xml:space="preserve">IMS.5.c</w:t>
            </w:r>
          </w:p>
        </w:tc>
        <w:tc>
          <w:tcPr>
            <w:vAlign w:val="center"/>
          </w:tcPr>
          <w:p>
            <w:r>
              <w:rPr>
                <w:b w:val="false"/>
                <w:bCs w:val="false"/>
              </w:rPr>
              <w:t xml:space="preserve">Security of records, data, information maintained</w:t>
            </w:r>
          </w:p>
        </w:tc>
        <w:tc>
          <w:tcPr>
            <w:vAlign w:val="center"/>
          </w:tcPr>
          <w:p>
            <w:r>
              <w:rPr>
                <w:b w:val="false"/>
                <w:bCs w:val="false"/>
              </w:rPr>
              <w:t xml:space="preserve">CORE*</w:t>
            </w:r>
          </w:p>
        </w:tc>
        <w:tc>
          <w:tcPr>
            <w:vAlign w:val="center"/>
          </w:tcPr>
          <w:p>
            <w:r>
              <w:rPr>
                <w:b w:val="false"/>
                <w:bCs w:val="false"/>
              </w:rPr>
              <w:t xml:space="preserve">Section 5.3</w:t>
            </w:r>
          </w:p>
        </w:tc>
        <w:tc>
          <w:tcPr>
            <w:vAlign w:val="center"/>
          </w:tcPr>
          <w:p>
            <w:r>
              <w:rPr>
                <w:b w:val="false"/>
                <w:bCs w:val="false"/>
              </w:rPr>
              <w:t xml:space="preserve">IT/MIS In-Charge</w:t>
            </w:r>
          </w:p>
        </w:tc>
      </w:tr>
      <w:tr>
        <w:tc>
          <w:tcPr>
            <w:vAlign w:val="center"/>
          </w:tcPr>
          <w:p>
            <w:r>
              <w:rPr>
                <w:b w:val="false"/>
                <w:bCs w:val="false"/>
              </w:rPr>
              <w:t xml:space="preserve">IMS.5.d</w:t>
            </w:r>
          </w:p>
        </w:tc>
        <w:tc>
          <w:tcPr>
            <w:vAlign w:val="center"/>
          </w:tcPr>
          <w:p>
            <w:r>
              <w:rPr>
                <w:b w:val="false"/>
                <w:bCs w:val="false"/>
              </w:rPr>
              <w:t xml:space="preserve">Technology used to improve confidentiality/integrity/security</w:t>
            </w:r>
          </w:p>
        </w:tc>
        <w:tc>
          <w:tcPr>
            <w:vAlign w:val="center"/>
          </w:tcPr>
          <w:p>
            <w:r>
              <w:rPr>
                <w:b w:val="false"/>
                <w:bCs w:val="false"/>
              </w:rPr>
              <w:t xml:space="preserve">Achievement</w:t>
            </w:r>
          </w:p>
        </w:tc>
        <w:tc>
          <w:tcPr>
            <w:vAlign w:val="center"/>
          </w:tcPr>
          <w:p>
            <w:r>
              <w:rPr>
                <w:b w:val="false"/>
                <w:bCs w:val="false"/>
              </w:rPr>
              <w:t xml:space="preserve">Section 5.4</w:t>
            </w:r>
          </w:p>
        </w:tc>
        <w:tc>
          <w:tcPr>
            <w:vAlign w:val="center"/>
          </w:tcPr>
          <w:p>
            <w:r>
              <w:rPr>
                <w:b w:val="false"/>
                <w:bCs w:val="false"/>
              </w:rPr>
              <w:t xml:space="preserve">IT/MIS In-Charge</w:t>
            </w:r>
          </w:p>
        </w:tc>
      </w:tr>
      <w:tr>
        <w:tc>
          <w:tcPr>
            <w:vAlign w:val="center"/>
          </w:tcPr>
          <w:p>
            <w:r>
              <w:rPr>
                <w:b w:val="false"/>
                <w:bCs w:val="false"/>
              </w:rPr>
              <w:t xml:space="preserve">IMS.5.e</w:t>
            </w:r>
          </w:p>
        </w:tc>
        <w:tc>
          <w:tcPr>
            <w:vAlign w:val="center"/>
          </w:tcPr>
          <w:p>
            <w:r>
              <w:rPr>
                <w:b w:val="false"/>
                <w:bCs w:val="false"/>
              </w:rPr>
              <w:t xml:space="preserve">Privileged health information disclosed as authorised/required</w:t>
            </w:r>
          </w:p>
        </w:tc>
        <w:tc>
          <w:tcPr>
            <w:vAlign w:val="center"/>
          </w:tcPr>
          <w:p>
            <w:r>
              <w:rPr>
                <w:b w:val="false"/>
                <w:bCs w:val="false"/>
              </w:rPr>
              <w:t xml:space="preserve">Commitment</w:t>
            </w:r>
          </w:p>
        </w:tc>
        <w:tc>
          <w:tcPr>
            <w:vAlign w:val="center"/>
          </w:tcPr>
          <w:p>
            <w:r>
              <w:rPr>
                <w:b w:val="false"/>
                <w:bCs w:val="false"/>
              </w:rPr>
              <w:t xml:space="preserve">Section 5.5</w:t>
            </w:r>
          </w:p>
        </w:tc>
        <w:tc>
          <w:tcPr>
            <w:vAlign w:val="center"/>
          </w:tcPr>
          <w:p>
            <w:r>
              <w:rPr>
                <w:b w:val="false"/>
                <w:bCs w:val="false"/>
              </w:rPr>
              <w:t xml:space="preserve">Medical Superintendent</w:t>
            </w:r>
          </w:p>
        </w:tc>
      </w:tr>
      <w:tr>
        <w:tc>
          <w:tcPr>
            <w:vAlign w:val="center"/>
          </w:tcPr>
          <w:p>
            <w:r>
              <w:rPr>
                <w:b w:val="false"/>
                <w:bCs w:val="false"/>
              </w:rPr>
              <w:t xml:space="preserve">IMS.5.f</w:t>
            </w:r>
          </w:p>
        </w:tc>
        <w:tc>
          <w:tcPr>
            <w:vAlign w:val="center"/>
          </w:tcPr>
          <w:p>
            <w:r>
              <w:rPr>
                <w:b w:val="false"/>
                <w:bCs w:val="false"/>
              </w:rPr>
              <w:t xml:space="preserve">Access requests addressed consistently</w:t>
            </w:r>
          </w:p>
        </w:tc>
        <w:tc>
          <w:tcPr>
            <w:vAlign w:val="center"/>
          </w:tcPr>
          <w:p>
            <w:r>
              <w:rPr>
                <w:b w:val="false"/>
                <w:bCs w:val="false"/>
              </w:rPr>
              <w:t xml:space="preserve">Commitment*</w:t>
            </w:r>
          </w:p>
        </w:tc>
        <w:tc>
          <w:tcPr>
            <w:vAlign w:val="center"/>
          </w:tcPr>
          <w:p>
            <w:r>
              <w:rPr>
                <w:b w:val="false"/>
                <w:bCs w:val="false"/>
              </w:rPr>
              <w:t xml:space="preserve">Section 5.6</w:t>
            </w:r>
          </w:p>
        </w:tc>
        <w:tc>
          <w:tcPr>
            <w:vAlign w:val="center"/>
          </w:tcPr>
          <w:p>
            <w:r>
              <w:rPr>
                <w:b w:val="false"/>
                <w:bCs w:val="false"/>
              </w:rPr>
              <w:t xml:space="preserve">Medical Records In-Charge</w:t>
            </w:r>
          </w:p>
        </w:tc>
      </w:tr>
    </w:tbl>
    <w:p>
      <w:pPr>
        <w:pStyle w:val="Heading1"/>
        <w:spacing w:after="120" w:before="240"/>
      </w:pPr>
      <w:r>
        <w:t xml:space="preserve">12. Required Records / Evidence Checklist</w:t>
      </w:r>
    </w:p>
    <w:p>
      <w:pPr>
        <w:pStyle w:val="Heading2"/>
        <w:spacing w:after="100" w:before="160"/>
      </w:pPr>
      <w:r>
        <w:t xml:space="preserve">IMS.5.a — Confidentiality.</w:t>
      </w:r>
    </w:p>
    <w:p>
      <w:pPr>
        <w:pStyle w:val="ListParagraph"/>
        <w:numPr>
          <w:ilvl w:val="0"/>
          <w:numId w:val="1"/>
        </w:numPr>
        <w:spacing w:after="100"/>
      </w:pPr>
      <w:r>
        <w:t xml:space="preserve">Access-control record for medical records department and Hospital Information System, by personnel type.</w:t>
      </w:r>
    </w:p>
    <w:p>
      <w:pPr>
        <w:pStyle w:val="ListParagraph"/>
        <w:numPr>
          <w:ilvl w:val="0"/>
          <w:numId w:val="1"/>
        </w:numPr>
        <w:spacing w:after="100"/>
      </w:pPr>
      <w:r>
        <w:t xml:space="preserve">Tracer-card usage record for physical file movement; authentication/log-off configuration record for electronic systems.</w:t>
      </w:r>
    </w:p>
    <w:p>
      <w:pPr>
        <w:pStyle w:val="Heading2"/>
        <w:spacing w:after="100" w:before="160"/>
      </w:pPr>
      <w:r>
        <w:t xml:space="preserve">IMS.5.b — Integrity.</w:t>
      </w:r>
    </w:p>
    <w:p>
      <w:pPr>
        <w:pStyle w:val="ListParagraph"/>
        <w:numPr>
          <w:ilvl w:val="0"/>
          <w:numId w:val="1"/>
        </w:numPr>
        <w:spacing w:after="100"/>
      </w:pPr>
      <w:r>
        <w:t xml:space="preserve">Written correction/overwrite guidance document.</w:t>
      </w:r>
    </w:p>
    <w:p>
      <w:pPr>
        <w:pStyle w:val="ListParagraph"/>
        <w:numPr>
          <w:ilvl w:val="0"/>
          <w:numId w:val="1"/>
        </w:numPr>
        <w:spacing w:after="100"/>
      </w:pPr>
      <w:r>
        <w:t xml:space="preserve">Change-tracking log for records and data.</w:t>
      </w:r>
    </w:p>
    <w:p>
      <w:pPr>
        <w:pStyle w:val="Heading2"/>
        <w:spacing w:after="100" w:before="160"/>
      </w:pPr>
      <w:r>
        <w:t xml:space="preserve">IMS.5.c — Security.</w:t>
      </w:r>
    </w:p>
    <w:p>
      <w:pPr>
        <w:pStyle w:val="ListParagraph"/>
        <w:numPr>
          <w:ilvl w:val="0"/>
          <w:numId w:val="1"/>
        </w:numPr>
        <w:spacing w:after="100"/>
      </w:pPr>
      <w:r>
        <w:t xml:space="preserve">Pest/rodent-control and fire-safety records for physical storage.</w:t>
      </w:r>
    </w:p>
    <w:p>
      <w:pPr>
        <w:pStyle w:val="ListParagraph"/>
        <w:numPr>
          <w:ilvl w:val="0"/>
          <w:numId w:val="1"/>
        </w:numPr>
        <w:spacing w:after="100"/>
      </w:pPr>
      <w:r>
        <w:t xml:space="preserve">Backup-procedure record, anti-virus/cyber-attack-prevention record, and secure-messaging-platform confirmation for confidential data.</w:t>
      </w:r>
    </w:p>
    <w:p>
      <w:pPr>
        <w:pStyle w:val="Heading2"/>
        <w:spacing w:after="100" w:before="160"/>
      </w:pPr>
      <w:r>
        <w:t xml:space="preserve">IMS.5.d — Technology improvement.</w:t>
      </w:r>
    </w:p>
    <w:p>
      <w:pPr>
        <w:pStyle w:val="ListParagraph"/>
        <w:numPr>
          <w:ilvl w:val="0"/>
          <w:numId w:val="1"/>
        </w:numPr>
        <w:spacing w:after="100"/>
      </w:pPr>
      <w:r>
        <w:t xml:space="preserve">Technology-review and update record for confidentiality/integrity/security.</w:t>
      </w:r>
    </w:p>
    <w:p>
      <w:pPr>
        <w:pStyle w:val="ListParagraph"/>
        <w:numPr>
          <w:ilvl w:val="0"/>
          <w:numId w:val="1"/>
        </w:numPr>
        <w:spacing w:after="100"/>
      </w:pPr>
      <w:r>
        <w:t xml:space="preserve">Medical-equipment safeguard record — USB restriction, remote-access restriction, anti-virus update, timely data backup — and any supporting risk-assessment record.</w:t>
      </w:r>
    </w:p>
    <w:p>
      <w:pPr>
        <w:pStyle w:val="Heading2"/>
        <w:spacing w:after="100" w:before="160"/>
      </w:pPr>
      <w:r>
        <w:t xml:space="preserve">IMS.5.e — Disclosure of privileged information.</w:t>
      </w:r>
    </w:p>
    <w:p>
      <w:pPr>
        <w:pStyle w:val="ListParagraph"/>
        <w:numPr>
          <w:ilvl w:val="0"/>
          <w:numId w:val="1"/>
        </w:numPr>
        <w:spacing w:after="100"/>
      </w:pPr>
      <w:r>
        <w:t xml:space="preserve">Written patient authorisation record for disclosure.</w:t>
      </w:r>
    </w:p>
    <w:p>
      <w:pPr>
        <w:pStyle w:val="ListParagraph"/>
        <w:numPr>
          <w:ilvl w:val="0"/>
          <w:numId w:val="1"/>
        </w:numPr>
        <w:spacing w:after="100"/>
      </w:pPr>
      <w:r>
        <w:t xml:space="preserve">Medico-legal/special-situation handling record.</w:t>
      </w:r>
    </w:p>
    <w:p>
      <w:pPr>
        <w:pStyle w:val="Heading2"/>
        <w:spacing w:after="100" w:before="160"/>
      </w:pPr>
      <w:r>
        <w:t xml:space="preserve">IMS.5.f — Access requests.</w:t>
      </w:r>
    </w:p>
    <w:p>
      <w:pPr>
        <w:pStyle w:val="ListParagraph"/>
        <w:numPr>
          <w:ilvl w:val="0"/>
          <w:numId w:val="1"/>
        </w:numPr>
        <w:spacing w:after="100"/>
      </w:pPr>
      <w:r>
        <w:t xml:space="preserve">Written guidance for addressing patient/physician/public-agency access requests.</w:t>
      </w:r>
    </w:p>
    <w:p>
      <w:pPr>
        <w:pStyle w:val="ListParagraph"/>
        <w:numPr>
          <w:ilvl w:val="0"/>
          <w:numId w:val="1"/>
        </w:numPr>
        <w:spacing w:after="100"/>
      </w:pPr>
      <w:r>
        <w:t xml:space="preserve">Denial-of-information record with licensed-healthcare-professional opinion, where applicable.</w:t>
      </w:r>
    </w:p>
    <w:p>
      <w:pPr>
        <w:pStyle w:val="Heading1"/>
        <w:spacing w:after="120" w:before="240"/>
      </w:pPr>
      <w:r>
        <w:t xml:space="preserve">13. References</w:t>
      </w:r>
    </w:p>
    <w:p>
      <w:pPr>
        <w:pStyle w:val="ListParagraph"/>
        <w:numPr>
          <w:ilvl w:val="0"/>
          <w:numId w:val="1"/>
        </w:numPr>
        <w:spacing w:after="100"/>
      </w:pPr>
      <w:r>
        <w:t xml:space="preserve">NABH Guidebook for Accreditation of Hospitals, 6th Edition — Standard IMS.5, "The organisation maintain confidentiality, integrity and security of records, data and information."</w:t>
      </w:r>
    </w:p>
    <w:p>
      <w:pPr>
        <w:pStyle w:val="ListParagraph"/>
        <w:numPr>
          <w:ilvl w:val="0"/>
          <w:numId w:val="1"/>
        </w:numPr>
        <w:spacing w:after="100"/>
      </w:pPr>
      <w:r>
        <w:t xml:space="preserve">Code of Medical Ethics Regulations, 2002 (as amended).</w:t>
      </w:r>
    </w:p>
    <w:p>
      <w:pPr>
        <w:pStyle w:val="Heading1"/>
        <w:spacing w:after="120" w:before="240"/>
      </w:pPr>
      <w:r>
        <w:t xml:space="preserve">Disclaimer</w:t>
      </w:r>
    </w:p>
    <w:p>
      <w:pPr>
        <w:spacing w:after="160"/>
      </w:pPr>
      <w:r>
        <w:t xml:space="preserve">This document is a template prepared for the guidance of «Hospital Name» and must be reviewed, adapted and formally approved by «Hospital Name» before use. Every entry marked ________ must be completed before the document is issued.</w:t>
      </w:r>
    </w:p>
    <w:p>
      <w:pPr>
        <w:spacing w:after="160"/>
      </w:pPr>
      <w:r>
        <w:t xml:space="preserve">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spacing w:after="160"/>
      </w:pPr>
      <w: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60"/>
      </w:pPr>
      <w:r>
        <w:t xml:space="preserve">This document is not issued by, endorsed by, or affiliated with NABH or any other body named in it. Wording is original; no text has been reproduced from the standards, rules or guidelines referenced.</w:t>
      </w:r>
    </w:p>
    <w:p>
      <w:pPr>
        <w:spacing w:after="160"/>
      </w:pPr>
      <w:r>
        <w:t xml:space="preserve">This policy shall be reviewed at least once every year, or earlier if NABH standards change.</w:t>
      </w:r>
    </w:p>
    <w:p>
      <w:pPr>
        <w:spacing w:after="160"/>
      </w:pPr>
      <w:r>
        <w:t xml:space="preserve">This policy is the property of «Hospital Name» and is not to be reproduced or distributed outside the organisation without written permission.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2026-09-05T10:03:12.529Z</dcterms:created>
  <dcterms:modified xsi:type="dcterms:W3CDTF">2026-09-05T10:03:12.529Z</dcterms:modified>
</cp:coreProperties>
</file>

<file path=docProps/custom.xml><?xml version="1.0" encoding="utf-8"?>
<Properties xmlns="http://schemas.openxmlformats.org/officeDocument/2006/custom-properties" xmlns:vt="http://schemas.openxmlformats.org/officeDocument/2006/docPropsVTypes"/>
</file>