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Information and Education about Healthcare Needs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HCO/PRE/POL/05</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Nursing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Patients and families at «Hospital Name» have a right to information and education about their healthcare needs, delivered in a way they can understand and act on.</w:t>
      </w:r>
    </w:p>
    <w:p>
      <w:pPr>
        <w:pStyle w:val="Heading1"/>
      </w:pPr>
      <w:r>
        <w:t>1. Purpose</w:t>
      </w:r>
    </w:p>
    <w:p>
      <w:pPr/>
      <w:r>
        <w:t>This policy sets out how «Hospital Name» educates patients and families — in a language and format they understand, on medication safety, food-drug interaction, diet and nutrition, immunisation, pain management, their specific disease process, and preventing healthcare-associated infections — and how special educational needs and patient engagement are addressed.</w:t>
      </w:r>
    </w:p>
    <w:p>
      <w:pPr/>
      <w:r>
        <w:t>This policy does not cover informed consent, patient rights generally, or information on costs — those are covered in other hospital policies. The other PRE standards have their own policies too.</w:t>
      </w:r>
    </w:p>
    <w:p>
      <w:pPr>
        <w:pStyle w:val="Heading1"/>
      </w:pPr>
      <w:r>
        <w:t>2. Scope</w:t>
      </w:r>
    </w:p>
    <w:p>
      <w:pPr/>
      <w:r>
        <w:t>This policy applies to all patients and families receiving care at «Hospital Name», across out-patient and in-patient settings.</w:t>
      </w:r>
    </w:p>
    <w:p>
      <w:pPr>
        <w:pStyle w:val="Heading1"/>
      </w:pPr>
      <w:r>
        <w:t>3. Policy standards</w:t>
      </w:r>
    </w:p>
    <w:p>
      <w:pPr/>
      <w:r>
        <w:t>«Hospital Name» educates patients and families in a language and format they can understand; about the safe and effective use of medication and its potential side effects when appropriate; about food-drug interaction; about diet and nutrition; about immunisations; on pain management techniques when appropriate; about their specific disease process, complications and prevention strategies; and about preventing healthcare-associated infections.</w:t>
      </w:r>
    </w:p>
    <w:p>
      <w:pPr/>
      <w:r>
        <w:t>«Hospital Name» identifies and addresses patients' and families' special educational needs, and has a mechanism to promote patient engagement to enhance clinical outcomes, safety and quality.</w:t>
      </w:r>
    </w:p>
    <w:p>
      <w:pPr>
        <w:pStyle w:val="Heading1"/>
      </w:pPr>
      <w:r>
        <w:t>4. Non-negotiable rules</w:t>
      </w:r>
    </w:p>
    <w:p>
      <w:pPr>
        <w:pStyle w:val="ListBullet"/>
      </w:pPr>
      <w:r>
        <w:t>Do not educate a patient or family in a language or format they cannot understand — screen for understanding and language needs first.</w:t>
      </w:r>
    </w:p>
    <w:p>
      <w:pPr>
        <w:pStyle w:val="ListBullet"/>
      </w:pPr>
      <w:r>
        <w:t>Do not skip educating a patient or family on the safe and effective use of medication and its potential side effects, where appropriate.</w:t>
      </w:r>
    </w:p>
    <w:p>
      <w:pPr>
        <w:pStyle w:val="ListBullet"/>
      </w:pPr>
      <w:r>
        <w:t>Do not skip educating a patient or family about food-drug interaction for drugs on the hospital's identified list.</w:t>
      </w:r>
    </w:p>
    <w:p>
      <w:pPr>
        <w:pStyle w:val="ListBullet"/>
      </w:pPr>
      <w:r>
        <w:t>Do not give diet and nutrition education that omits general recommendations for a healthy diet.</w:t>
      </w:r>
    </w:p>
    <w:p>
      <w:pPr>
        <w:pStyle w:val="ListBullet"/>
      </w:pPr>
      <w:r>
        <w:t>Do not skip paediatric immunisation education that follows the universal immunisation programme.</w:t>
      </w:r>
    </w:p>
    <w:p>
      <w:pPr>
        <w:pStyle w:val="ListBullet"/>
      </w:pPr>
      <w:r>
        <w:t>Do not deliver pain-management education outside the patient's personal, cultural and religious beliefs.</w:t>
      </w:r>
    </w:p>
    <w:p>
      <w:pPr>
        <w:pStyle w:val="ListBullet"/>
      </w:pPr>
      <w:r>
        <w:t>Do not give disease-specific education that omits lifestyle modifications, diet changes or immunisation where appropriate.</w:t>
      </w:r>
    </w:p>
    <w:p>
      <w:pPr>
        <w:pStyle w:val="ListBullet"/>
      </w:pPr>
      <w:r>
        <w:t>Do not skip educating a patient or family about preventing healthcare-associated infections.</w:t>
      </w:r>
    </w:p>
    <w:p>
      <w:pPr>
        <w:pStyle w:val="ListBullet"/>
      </w:pPr>
      <w:r>
        <w:t>Do not identify a special educational need without addressing it.</w:t>
      </w:r>
    </w:p>
    <w:p>
      <w:pPr>
        <w:pStyle w:val="ListBullet"/>
      </w:pPr>
      <w:r>
        <w:t>Staff who see a rule under this policy broken report it the same shift to the Nursing Superintendent or the Medical Superintendent.</w:t>
      </w:r>
    </w:p>
    <w:p>
      <w:pPr>
        <w:pStyle w:val="Heading1"/>
      </w:pPr>
      <w:r>
        <w:t>5. What we do</w:t>
      </w:r>
    </w:p>
    <w:p>
      <w:pPr>
        <w:pStyle w:val="Heading2"/>
      </w:pPr>
      <w:r>
        <w:t>5.1 Education in an understood language and format</w:t>
      </w:r>
    </w:p>
    <w:p>
      <w:pPr/>
      <w:r>
        <w:t>During treatment, patients and/or families at «Hospital Name» are screened — at least informally — for their understanding abilities and language requirements. Education is delivered through counselling, printed material or audio-visual aids in the language and format identified from that screening.</w:t>
      </w:r>
    </w:p>
    <w:p>
      <w:pPr>
        <w:pStyle w:val="Heading2"/>
      </w:pPr>
      <w:r>
        <w:t>5.2 Medication safety education</w:t>
      </w:r>
    </w:p>
    <w:p>
      <w:pPr/>
      <w:r>
        <w:t>«Hospital Name» maintains a list of drugs for which education on safe and effective use and potential side effects is required — for example digoxin — and educates patients and/or families against that list when those drugs are prescribed or dispensed, including the importance of taking a drug at a specific time where relevant.</w:t>
      </w:r>
    </w:p>
    <w:p>
      <w:pPr>
        <w:pStyle w:val="Heading2"/>
      </w:pPr>
      <w:r>
        <w:t>5.3 Food-drug interaction education</w:t>
      </w:r>
    </w:p>
    <w:p>
      <w:pPr/>
      <w:r>
        <w:t>«Hospital Name» maintains a list of drugs, or drug classes, for which food-drug interactions are clinically relevant — for example no alcohol when taking metronidazole — and educates patients and families about their diet during medication when a drug on that list is prescribed.</w:t>
      </w:r>
    </w:p>
    <w:p>
      <w:pPr>
        <w:pStyle w:val="Heading2"/>
      </w:pPr>
      <w:r>
        <w:t>5.4 Diet and nutrition education</w:t>
      </w:r>
    </w:p>
    <w:p>
      <w:pPr/>
      <w:r>
        <w:t>Education on diet and nutrition at «Hospital Name» incorporates general recommendations for following a healthy diet, and may also cover the relationship between specific foods or supplements and particular health conditions.</w:t>
      </w:r>
    </w:p>
    <w:p>
      <w:pPr>
        <w:pStyle w:val="Heading2"/>
      </w:pPr>
      <w:r>
        <w:t>5.5 Immunisation education</w:t>
      </w:r>
    </w:p>
    <w:p>
      <w:pPr/>
      <w:r>
        <w:t>Paediatric immunisation education at «Hospital Name» follows the universal immunisation programme. Adult patients are educated on relevant vaccines — for example influenza, pneumococcal, typhoid, hepatitis B, or meningococcal vaccines — as determined by the treating doctor based on the patient's condition and risk profile.</w:t>
      </w:r>
    </w:p>
    <w:p>
      <w:pPr>
        <w:pStyle w:val="Heading2"/>
      </w:pPr>
      <w:r>
        <w:t>5.6 Pain management education</w:t>
      </w:r>
    </w:p>
    <w:p>
      <w:pPr/>
      <w:r>
        <w:t>Where appropriate — typically for patients likely to have long-term pain because the underlying condition is not treatable — {HN} educates the patient and/or family on pain management techniques, within the framework of their personal, cultural and religious beliefs.</w:t>
      </w:r>
    </w:p>
    <w:p>
      <w:pPr>
        <w:pStyle w:val="Heading2"/>
      </w:pPr>
      <w:r>
        <w:t>5.7 Disease-specific education</w:t>
      </w:r>
    </w:p>
    <w:p>
      <w:pPr/>
      <w:r>
        <w:t>Education on a patient's specific disease process, complications and prevention strategies at «Hospital Name» includes lifestyle modifications — stress management, physical exercise, cessation of smoking and substance abuse — and covers diet changes and immunisations where appropriate to the condition. This may be delivered through booklets, videos or leaflets.</w:t>
      </w:r>
    </w:p>
    <w:p>
      <w:pPr>
        <w:pStyle w:val="Heading2"/>
      </w:pPr>
      <w:r>
        <w:t>5.8 Healthcare-associated infection prevention education</w:t>
      </w:r>
    </w:p>
    <w:p>
      <w:pPr/>
      <w:r>
        <w:t>«Hospital Name» educates patients and families about preventing healthcare-associated infections — for example hand washing and avoiding overcrowding near the patient.</w:t>
      </w:r>
    </w:p>
    <w:p>
      <w:pPr>
        <w:pStyle w:val="Heading2"/>
      </w:pPr>
      <w:r>
        <w:t>5.9 Special educational needs</w:t>
      </w:r>
    </w:p>
    <w:p>
      <w:pPr/>
      <w:r>
        <w:t>Special educational needs of patients and/or family members — for example related to ADHD, autism support, physical disabilities, speech and communication needs, or social and emotional health needs — are identified during treatment and addressed through counselling, printed material, audio-visual aids or other adapted means.</w:t>
      </w:r>
    </w:p>
    <w:p>
      <w:pPr>
        <w:pStyle w:val="Heading2"/>
      </w:pPr>
      <w:r>
        <w:t>5.10 Patient engagement</w:t>
      </w:r>
    </w:p>
    <w:p>
      <w:pPr/>
      <w:r>
        <w:t>«Hospital Name» works to create an enabling environment for partnership between patients, families, communities and healthcare providers, and encourages patients to become actively involved in reporting safety incidents, near misses and safety concerns. This may include disease-based patient support groups, a patient advisory council, and designated patient safety champions or advocates, where appropriate.</w:t>
      </w:r>
    </w:p>
    <w:p>
      <w:pPr>
        <w:pStyle w:val="Heading1"/>
      </w:pPr>
      <w:r>
        <w:t>6. Stop-work authority</w:t>
      </w:r>
    </w:p>
    <w:p>
      <w:pPr/>
      <w:r>
        <w:t>Not applicable. This standard has no stop-work authority — gaps in patient and family education are addressed through the hospital's quality monitoring and CAPA process (Section 8), not through an immediate stop-work trigger.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patients and families receive education as required by this policy; receives escalations under Section 4.</w:t>
            </w:r>
          </w:p>
        </w:tc>
      </w:tr>
      <w:tr>
        <w:tc>
          <w:tcPr>
            <w:tcW w:type="dxa" w:w="4320"/>
          </w:tcPr>
          <w:p>
            <w:r>
              <w:t>Nursing Superintendent</w:t>
            </w:r>
          </w:p>
        </w:tc>
        <w:tc>
          <w:tcPr>
            <w:tcW w:type="dxa" w:w="4320"/>
          </w:tcPr>
          <w:p>
            <w:r>
              <w:t>Owns implementation of this policy; coordinates patient and family education across departments; holds education records.</w:t>
            </w:r>
          </w:p>
        </w:tc>
      </w:tr>
      <w:tr>
        <w:tc>
          <w:tcPr>
            <w:tcW w:type="dxa" w:w="4320"/>
          </w:tcPr>
          <w:p>
            <w:r>
              <w:t>Pharmacy In-Charge</w:t>
            </w:r>
          </w:p>
        </w:tc>
        <w:tc>
          <w:tcPr>
            <w:tcW w:type="dxa" w:w="4320"/>
          </w:tcPr>
          <w:p>
            <w:r>
              <w:t>Maintains the medication-safety and food-drug interaction education lists; keeps these current with the formulary.</w:t>
            </w:r>
          </w:p>
        </w:tc>
      </w:tr>
      <w:tr>
        <w:tc>
          <w:tcPr>
            <w:tcW w:type="dxa" w:w="4320"/>
          </w:tcPr>
          <w:p>
            <w:r>
              <w:t>Treating Doctor / Care Team</w:t>
            </w:r>
          </w:p>
        </w:tc>
        <w:tc>
          <w:tcPr>
            <w:tcW w:type="dxa" w:w="4320"/>
          </w:tcPr>
          <w:p>
            <w:r>
              <w:t>Delivers or assigns disease-specific, pain-management and immunisation education relevant to the individual patient.</w:t>
            </w:r>
          </w:p>
        </w:tc>
      </w:tr>
      <w:tr>
        <w:tc>
          <w:tcPr>
            <w:tcW w:type="dxa" w:w="4320"/>
          </w:tcPr>
          <w:p>
            <w:r>
              <w:t>Quality Coordinator</w:t>
            </w:r>
          </w:p>
        </w:tc>
        <w:tc>
          <w:tcPr>
            <w:tcW w:type="dxa" w:w="4320"/>
          </w:tcPr>
          <w:p>
            <w:r>
              <w:t>Audits this policy; holds training records and staff acknowledgements.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Language and format</w:t>
            </w:r>
          </w:p>
        </w:tc>
        <w:tc>
          <w:tcPr>
            <w:tcW w:type="dxa" w:w="4320"/>
          </w:tcPr>
          <w:p>
            <w:r>
              <w:t>Evidence of language/format screening; education given in the identified language and format.</w:t>
            </w:r>
          </w:p>
        </w:tc>
      </w:tr>
      <w:tr>
        <w:tc>
          <w:tcPr>
            <w:tcW w:type="dxa" w:w="4320"/>
          </w:tcPr>
          <w:p>
            <w:r>
              <w:t>Medication safety</w:t>
            </w:r>
          </w:p>
        </w:tc>
        <w:tc>
          <w:tcPr>
            <w:tcW w:type="dxa" w:w="4320"/>
          </w:tcPr>
          <w:p>
            <w:r>
              <w:t>Written drug-education list; counselling records for patients receiving listed drugs.</w:t>
            </w:r>
          </w:p>
        </w:tc>
      </w:tr>
      <w:tr>
        <w:tc>
          <w:tcPr>
            <w:tcW w:type="dxa" w:w="4320"/>
          </w:tcPr>
          <w:p>
            <w:r>
              <w:t>Food-drug interaction</w:t>
            </w:r>
          </w:p>
        </w:tc>
        <w:tc>
          <w:tcPr>
            <w:tcW w:type="dxa" w:w="4320"/>
          </w:tcPr>
          <w:p>
            <w:r>
              <w:t>Written food-drug interaction list; counselling or diet-note records.</w:t>
            </w:r>
          </w:p>
        </w:tc>
      </w:tr>
      <w:tr>
        <w:tc>
          <w:tcPr>
            <w:tcW w:type="dxa" w:w="4320"/>
          </w:tcPr>
          <w:p>
            <w:r>
              <w:t>Diet and nutrition</w:t>
            </w:r>
          </w:p>
        </w:tc>
        <w:tc>
          <w:tcPr>
            <w:tcW w:type="dxa" w:w="4320"/>
          </w:tcPr>
          <w:p>
            <w:r>
              <w:t>In-patient diet education records; out-patient diet counselling records.</w:t>
            </w:r>
          </w:p>
        </w:tc>
      </w:tr>
      <w:tr>
        <w:tc>
          <w:tcPr>
            <w:tcW w:type="dxa" w:w="4320"/>
          </w:tcPr>
          <w:p>
            <w:r>
              <w:t>Immunisation</w:t>
            </w:r>
          </w:p>
        </w:tc>
        <w:tc>
          <w:tcPr>
            <w:tcW w:type="dxa" w:w="4320"/>
          </w:tcPr>
          <w:p>
            <w:r>
              <w:t>Adult immunisation advice records; paediatric immunisation counselling records referencing the universal immunisation programme.</w:t>
            </w:r>
          </w:p>
        </w:tc>
      </w:tr>
      <w:tr>
        <w:tc>
          <w:tcPr>
            <w:tcW w:type="dxa" w:w="4320"/>
          </w:tcPr>
          <w:p>
            <w:r>
              <w:t>Pain management</w:t>
            </w:r>
          </w:p>
        </w:tc>
        <w:tc>
          <w:tcPr>
            <w:tcW w:type="dxa" w:w="4320"/>
          </w:tcPr>
          <w:p>
            <w:r>
              <w:t>Long-term pain education records for identified patients.</w:t>
            </w:r>
          </w:p>
        </w:tc>
      </w:tr>
      <w:tr>
        <w:tc>
          <w:tcPr>
            <w:tcW w:type="dxa" w:w="4320"/>
          </w:tcPr>
          <w:p>
            <w:r>
              <w:t>Disease-specific education</w:t>
            </w:r>
          </w:p>
        </w:tc>
        <w:tc>
          <w:tcPr>
            <w:tcW w:type="dxa" w:w="4320"/>
          </w:tcPr>
          <w:p>
            <w:r>
              <w:t>Education records covering disease process, lifestyle, diet and immunisation.</w:t>
            </w:r>
          </w:p>
        </w:tc>
      </w:tr>
      <w:tr>
        <w:tc>
          <w:tcPr>
            <w:tcW w:type="dxa" w:w="4320"/>
          </w:tcPr>
          <w:p>
            <w:r>
              <w:t>HAI prevention</w:t>
            </w:r>
          </w:p>
        </w:tc>
        <w:tc>
          <w:tcPr>
            <w:tcW w:type="dxa" w:w="4320"/>
          </w:tcPr>
          <w:p>
            <w:r>
              <w:t>Admission-checklist education records confirming person-to-person education.</w:t>
            </w:r>
          </w:p>
        </w:tc>
      </w:tr>
      <w:tr>
        <w:tc>
          <w:tcPr>
            <w:tcW w:type="dxa" w:w="4320"/>
          </w:tcPr>
          <w:p>
            <w:r>
              <w:t>Special educational needs</w:t>
            </w:r>
          </w:p>
        </w:tc>
        <w:tc>
          <w:tcPr>
            <w:tcW w:type="dxa" w:w="4320"/>
          </w:tcPr>
          <w:p>
            <w:r>
              <w:t>Identified-need records; corresponding adapted-education or counselling records.</w:t>
            </w:r>
          </w:p>
        </w:tc>
      </w:tr>
      <w:tr>
        <w:tc>
          <w:tcPr>
            <w:tcW w:type="dxa" w:w="4320"/>
          </w:tcPr>
          <w:p>
            <w:r>
              <w:t>Patient engagement</w:t>
            </w:r>
          </w:p>
        </w:tc>
        <w:tc>
          <w:tcPr>
            <w:tcW w:type="dxa" w:w="4320"/>
          </w:tcPr>
          <w:p>
            <w:r>
              <w:t>Engagement activity records — support groups, advisory council, safety champion appointments, patient safety incident reports received.</w:t>
            </w:r>
          </w:p>
        </w:tc>
      </w:tr>
    </w:tbl>
    <w:p>
      <w:pPr>
        <w:pStyle w:val="Heading1"/>
      </w:pPr>
      <w:r>
        <w:t>9. Training and staff acknowledgement</w:t>
      </w:r>
    </w:p>
    <w:p>
      <w:pPr/>
      <w:r>
        <w:t>All staff covered by this policy are trained on the education requirements described in Section 5 at induction and periodically.</w:t>
      </w:r>
    </w:p>
    <w:p>
      <w:pPr/>
      <w:r>
        <w:t>I have read the Policy on Information and Education about Healthcare Needs of «Hospital Name» and understand my responsibilities under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the Nursing department, Pharmacy, all clinical department heads, and all staff through the hospital intranet and department policy folders.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ADHD</w:t>
            </w:r>
          </w:p>
        </w:tc>
        <w:tc>
          <w:tcPr>
            <w:tcW w:type="dxa" w:w="4320"/>
          </w:tcPr>
          <w:p>
            <w:r>
              <w:t>Attention Deficit Hyperactivity Disorder</w:t>
            </w:r>
          </w:p>
        </w:tc>
      </w:tr>
      <w:tr>
        <w:tc>
          <w:tcPr>
            <w:tcW w:type="dxa" w:w="4320"/>
          </w:tcPr>
          <w:p>
            <w:r>
              <w:t>CAPA</w:t>
            </w:r>
          </w:p>
        </w:tc>
        <w:tc>
          <w:tcPr>
            <w:tcW w:type="dxa" w:w="4320"/>
          </w:tcPr>
          <w:p>
            <w:r>
              <w:t>Corrective and Preventive Action</w:t>
            </w:r>
          </w:p>
        </w:tc>
      </w:tr>
      <w:tr>
        <w:tc>
          <w:tcPr>
            <w:tcW w:type="dxa" w:w="4320"/>
          </w:tcPr>
          <w:p>
            <w:r>
              <w:t>HAI</w:t>
            </w:r>
          </w:p>
        </w:tc>
        <w:tc>
          <w:tcPr>
            <w:tcW w:type="dxa" w:w="4320"/>
          </w:tcPr>
          <w:p>
            <w:r>
              <w:t>Healthcare-Associated Infection</w:t>
            </w:r>
          </w:p>
        </w:tc>
      </w:tr>
      <w:tr>
        <w:tc>
          <w:tcPr>
            <w:tcW w:type="dxa" w:w="4320"/>
          </w:tcPr>
          <w:p>
            <w:r>
              <w:t>NABH</w:t>
            </w:r>
          </w:p>
        </w:tc>
        <w:tc>
          <w:tcPr>
            <w:tcW w:type="dxa" w:w="4320"/>
          </w:tcPr>
          <w:p>
            <w:r>
              <w:t>National Accreditation Board for Hospitals and Healthcare Providers</w:t>
            </w:r>
          </w:p>
        </w:tc>
      </w:tr>
      <w:tr>
        <w:tc>
          <w:tcPr>
            <w:tcW w:type="dxa" w:w="4320"/>
          </w:tcPr>
          <w:p>
            <w:r>
              <w:t>OPD</w:t>
            </w:r>
          </w:p>
        </w:tc>
        <w:tc>
          <w:tcPr>
            <w:tcW w:type="dxa" w:w="4320"/>
          </w:tcPr>
          <w:p>
            <w:r>
              <w:t>Out-Patient Department</w:t>
            </w:r>
          </w:p>
        </w:tc>
      </w:tr>
      <w:tr>
        <w:tc>
          <w:tcPr>
            <w:tcW w:type="dxa" w:w="4320"/>
          </w:tcPr>
          <w:p>
            <w:r>
              <w:t>PREM</w:t>
            </w:r>
          </w:p>
        </w:tc>
        <w:tc>
          <w:tcPr>
            <w:tcW w:type="dxa" w:w="4320"/>
          </w:tcPr>
          <w:p>
            <w:r>
              <w:t>Patient-Reported Experience Measure</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PRE.5.a</w:t>
            </w:r>
          </w:p>
        </w:tc>
        <w:tc>
          <w:tcPr>
            <w:tcW w:type="dxa" w:w="2880"/>
          </w:tcPr>
          <w:p>
            <w:r>
              <w:t>CORE</w:t>
            </w:r>
          </w:p>
        </w:tc>
        <w:tc>
          <w:tcPr>
            <w:tcW w:type="dxa" w:w="2880"/>
          </w:tcPr>
          <w:p>
            <w:r>
              <w:t>Sections 3 and 5.1 address education in a language and format the patient and/or family can understand, including informal screening for language needs.</w:t>
            </w:r>
          </w:p>
        </w:tc>
      </w:tr>
      <w:tr>
        <w:tc>
          <w:tcPr>
            <w:tcW w:type="dxa" w:w="2880"/>
          </w:tcPr>
          <w:p>
            <w:r>
              <w:t>PRE.5.b</w:t>
            </w:r>
          </w:p>
        </w:tc>
        <w:tc>
          <w:tcPr>
            <w:tcW w:type="dxa" w:w="2880"/>
          </w:tcPr>
          <w:p>
            <w:r>
              <w:t>Commitment</w:t>
            </w:r>
          </w:p>
        </w:tc>
        <w:tc>
          <w:tcPr>
            <w:tcW w:type="dxa" w:w="2880"/>
          </w:tcPr>
          <w:p>
            <w:r>
              <w:t>Sections 3 and 5.2 address education on safe and effective medication use and potential side effects, using the hospital's drug-education list.</w:t>
            </w:r>
          </w:p>
        </w:tc>
      </w:tr>
      <w:tr>
        <w:tc>
          <w:tcPr>
            <w:tcW w:type="dxa" w:w="2880"/>
          </w:tcPr>
          <w:p>
            <w:r>
              <w:t>PRE.5.c</w:t>
            </w:r>
          </w:p>
        </w:tc>
        <w:tc>
          <w:tcPr>
            <w:tcW w:type="dxa" w:w="2880"/>
          </w:tcPr>
          <w:p>
            <w:r>
              <w:t>Commitment</w:t>
            </w:r>
          </w:p>
        </w:tc>
        <w:tc>
          <w:tcPr>
            <w:tcW w:type="dxa" w:w="2880"/>
          </w:tcPr>
          <w:p>
            <w:r>
              <w:t>Sections 3 and 5.3 address education on food-drug interactions, using the hospital's food-drug interaction list.</w:t>
            </w:r>
          </w:p>
        </w:tc>
      </w:tr>
      <w:tr>
        <w:tc>
          <w:tcPr>
            <w:tcW w:type="dxa" w:w="2880"/>
          </w:tcPr>
          <w:p>
            <w:r>
              <w:t>PRE.5.d</w:t>
            </w:r>
          </w:p>
        </w:tc>
        <w:tc>
          <w:tcPr>
            <w:tcW w:type="dxa" w:w="2880"/>
          </w:tcPr>
          <w:p>
            <w:r>
              <w:t>Commitment</w:t>
            </w:r>
          </w:p>
        </w:tc>
        <w:tc>
          <w:tcPr>
            <w:tcW w:type="dxa" w:w="2880"/>
          </w:tcPr>
          <w:p>
            <w:r>
              <w:t>Sections 3 and 5.4 address diet and nutrition education, including general healthy-diet recommendations.</w:t>
            </w:r>
          </w:p>
        </w:tc>
      </w:tr>
      <w:tr>
        <w:tc>
          <w:tcPr>
            <w:tcW w:type="dxa" w:w="2880"/>
          </w:tcPr>
          <w:p>
            <w:r>
              <w:t>PRE.5.e</w:t>
            </w:r>
          </w:p>
        </w:tc>
        <w:tc>
          <w:tcPr>
            <w:tcW w:type="dxa" w:w="2880"/>
          </w:tcPr>
          <w:p>
            <w:r>
              <w:t>Commitment</w:t>
            </w:r>
          </w:p>
        </w:tc>
        <w:tc>
          <w:tcPr>
            <w:tcW w:type="dxa" w:w="2880"/>
          </w:tcPr>
          <w:p>
            <w:r>
              <w:t>Sections 3 and 5.5 address immunisation education, following the universal immunisation programme for paediatric patients.</w:t>
            </w:r>
          </w:p>
        </w:tc>
      </w:tr>
      <w:tr>
        <w:tc>
          <w:tcPr>
            <w:tcW w:type="dxa" w:w="2880"/>
          </w:tcPr>
          <w:p>
            <w:r>
              <w:t>PRE.5.f</w:t>
            </w:r>
          </w:p>
        </w:tc>
        <w:tc>
          <w:tcPr>
            <w:tcW w:type="dxa" w:w="2880"/>
          </w:tcPr>
          <w:p>
            <w:r>
              <w:t>Commitment</w:t>
            </w:r>
          </w:p>
        </w:tc>
        <w:tc>
          <w:tcPr>
            <w:tcW w:type="dxa" w:w="2880"/>
          </w:tcPr>
          <w:p>
            <w:r>
              <w:t>Sections 3 and 5.6 address pain-management education for patients likely to have long-term pain, within personal, cultural and religious beliefs.</w:t>
            </w:r>
          </w:p>
        </w:tc>
      </w:tr>
      <w:tr>
        <w:tc>
          <w:tcPr>
            <w:tcW w:type="dxa" w:w="2880"/>
          </w:tcPr>
          <w:p>
            <w:r>
              <w:t>PRE.5.g</w:t>
            </w:r>
          </w:p>
        </w:tc>
        <w:tc>
          <w:tcPr>
            <w:tcW w:type="dxa" w:w="2880"/>
          </w:tcPr>
          <w:p>
            <w:r>
              <w:t>Commitment</w:t>
            </w:r>
          </w:p>
        </w:tc>
        <w:tc>
          <w:tcPr>
            <w:tcW w:type="dxa" w:w="2880"/>
          </w:tcPr>
          <w:p>
            <w:r>
              <w:t>Sections 3 and 5.7 address disease-specific education, including lifestyle modifications, diet changes and immunisation where appropriate.</w:t>
            </w:r>
          </w:p>
        </w:tc>
      </w:tr>
      <w:tr>
        <w:tc>
          <w:tcPr>
            <w:tcW w:type="dxa" w:w="2880"/>
          </w:tcPr>
          <w:p>
            <w:r>
              <w:t>PRE.5.h</w:t>
            </w:r>
          </w:p>
        </w:tc>
        <w:tc>
          <w:tcPr>
            <w:tcW w:type="dxa" w:w="2880"/>
          </w:tcPr>
          <w:p>
            <w:r>
              <w:t>Commitment</w:t>
            </w:r>
          </w:p>
        </w:tc>
        <w:tc>
          <w:tcPr>
            <w:tcW w:type="dxa" w:w="2880"/>
          </w:tcPr>
          <w:p>
            <w:r>
              <w:t>Sections 3 and 5.8 address education on preventing healthcare-associated infections, including hand washing and avoiding overcrowding.</w:t>
            </w:r>
          </w:p>
        </w:tc>
      </w:tr>
      <w:tr>
        <w:tc>
          <w:tcPr>
            <w:tcW w:type="dxa" w:w="2880"/>
          </w:tcPr>
          <w:p>
            <w:r>
              <w:t>PRE.5.i</w:t>
            </w:r>
          </w:p>
        </w:tc>
        <w:tc>
          <w:tcPr>
            <w:tcW w:type="dxa" w:w="2880"/>
          </w:tcPr>
          <w:p>
            <w:r>
              <w:t>Achievement</w:t>
            </w:r>
          </w:p>
        </w:tc>
        <w:tc>
          <w:tcPr>
            <w:tcW w:type="dxa" w:w="2880"/>
          </w:tcPr>
          <w:p>
            <w:r>
              <w:t>Sections 3 and 5.9 address identification and addressing of patients' and families' special educational needs.</w:t>
            </w:r>
          </w:p>
        </w:tc>
      </w:tr>
      <w:tr>
        <w:tc>
          <w:tcPr>
            <w:tcW w:type="dxa" w:w="2880"/>
          </w:tcPr>
          <w:p>
            <w:r>
              <w:t>PRE.5.j</w:t>
            </w:r>
          </w:p>
        </w:tc>
        <w:tc>
          <w:tcPr>
            <w:tcW w:type="dxa" w:w="2880"/>
          </w:tcPr>
          <w:p>
            <w:r>
              <w:t>Excellence</w:t>
            </w:r>
          </w:p>
        </w:tc>
        <w:tc>
          <w:tcPr>
            <w:tcW w:type="dxa" w:w="2880"/>
          </w:tcPr>
          <w:p>
            <w:r>
              <w:t>Sections 3 and 5.10 address mechanisms to promote patient engagement, including support groups, advisory council and safety champions.</w:t>
            </w:r>
          </w:p>
        </w:tc>
      </w:tr>
    </w:tbl>
    <w:p>
      <w:pPr>
        <w:pStyle w:val="Heading1"/>
      </w:pPr>
      <w:r>
        <w:t>13. Required Records/Evidence Checklist</w:t>
      </w:r>
    </w:p>
    <w:p>
      <w:pPr>
        <w:pStyle w:val="Heading2"/>
      </w:pPr>
      <w:r>
        <w:t>Education language and format — PRE.5.a (CORE)</w:t>
      </w:r>
    </w:p>
    <w:p>
      <w:pPr>
        <w:pStyle w:val="ListBullet"/>
      </w:pPr>
      <w:r>
        <w:t>Language/format screening record (admission note, nursing kardex or counselling record), education given, and the format used.</w:t>
      </w:r>
    </w:p>
    <w:p>
      <w:pPr>
        <w:pStyle w:val="Heading2"/>
      </w:pPr>
      <w:r>
        <w:t>Medication safety education — PRE.5.b (Commitment)</w:t>
      </w:r>
    </w:p>
    <w:p>
      <w:pPr>
        <w:pStyle w:val="ListBullet"/>
      </w:pPr>
      <w:r>
        <w:t>Written drug-education list (current version).</w:t>
      </w:r>
    </w:p>
    <w:p>
      <w:pPr>
        <w:pStyle w:val="ListBullet"/>
      </w:pPr>
      <w:r>
        <w:t>Counselling records for sampled patients who received a listed drug.</w:t>
      </w:r>
    </w:p>
    <w:p>
      <w:pPr>
        <w:pStyle w:val="Heading2"/>
      </w:pPr>
      <w:r>
        <w:t>Food-drug interaction education — PRE.5.c (Commitment)</w:t>
      </w:r>
    </w:p>
    <w:p>
      <w:pPr>
        <w:pStyle w:val="ListBullet"/>
      </w:pPr>
      <w:r>
        <w:t>Written food-drug interaction list.</w:t>
      </w:r>
    </w:p>
    <w:p>
      <w:pPr>
        <w:pStyle w:val="ListBullet"/>
      </w:pPr>
      <w:r>
        <w:t>Counselling or diet-note records for sampled patients who received a listed drug.</w:t>
      </w:r>
    </w:p>
    <w:p>
      <w:pPr>
        <w:pStyle w:val="Heading2"/>
      </w:pPr>
      <w:r>
        <w:t>Diet and nutrition education — PRE.5.d (Commitment)</w:t>
      </w:r>
    </w:p>
    <w:p>
      <w:pPr>
        <w:pStyle w:val="ListBullet"/>
      </w:pPr>
      <w:r>
        <w:t>In-patient diet education records (for patients on therapeutic diets).</w:t>
      </w:r>
    </w:p>
    <w:p>
      <w:pPr>
        <w:pStyle w:val="ListBullet"/>
      </w:pPr>
      <w:r>
        <w:t>Out-patient diet counselling records when ordered by the treating doctor.</w:t>
      </w:r>
    </w:p>
    <w:p>
      <w:pPr>
        <w:pStyle w:val="Heading2"/>
      </w:pPr>
      <w:r>
        <w:t>Immunisation education — PRE.5.e (Commitment)</w:t>
      </w:r>
    </w:p>
    <w:p>
      <w:pPr>
        <w:pStyle w:val="ListBullet"/>
      </w:pPr>
      <w:r>
        <w:t>Records of immunisation advice given to adults, noting vaccines discussed or due.</w:t>
      </w:r>
    </w:p>
    <w:p>
      <w:pPr>
        <w:pStyle w:val="ListBullet"/>
      </w:pPr>
      <w:r>
        <w:t>Paediatric immunisation counselling records referencing the universal immunisation programme.</w:t>
      </w:r>
    </w:p>
    <w:p>
      <w:pPr>
        <w:pStyle w:val="Heading2"/>
      </w:pPr>
      <w:r>
        <w:t>Pain management education — PRE.5.f (Commitment)</w:t>
      </w:r>
    </w:p>
    <w:p>
      <w:pPr>
        <w:pStyle w:val="ListBullet"/>
      </w:pPr>
      <w:r>
        <w:t>Records of long-term pain-management education for identified patients, noting the treating doctor's rationale and the cultural/religious framework respected.</w:t>
      </w:r>
    </w:p>
    <w:p>
      <w:pPr>
        <w:pStyle w:val="Heading2"/>
      </w:pPr>
      <w:r>
        <w:t>Disease-specific education — PRE.5.g (Commitment)</w:t>
      </w:r>
    </w:p>
    <w:p>
      <w:pPr>
        <w:pStyle w:val="ListBullet"/>
      </w:pPr>
      <w:r>
        <w:t>Education records for sampled patients, covering disease process, complications, lifestyle modifications, diet and immunisation.</w:t>
      </w:r>
    </w:p>
    <w:p>
      <w:pPr>
        <w:pStyle w:val="ListBullet"/>
      </w:pPr>
      <w:r>
        <w:t>Supporting materials used (booklets, videos, leaflets).</w:t>
      </w:r>
    </w:p>
    <w:p>
      <w:pPr>
        <w:pStyle w:val="Heading2"/>
      </w:pPr>
      <w:r>
        <w:t>HAI prevention education — PRE.5.h (Commitment)</w:t>
      </w:r>
    </w:p>
    <w:p>
      <w:pPr>
        <w:pStyle w:val="ListBullet"/>
      </w:pPr>
      <w:r>
        <w:t>HAI-prevention education records on the admission checklist confirming person-to-person education occurred.</w:t>
      </w:r>
    </w:p>
    <w:p>
      <w:pPr>
        <w:pStyle w:val="Heading2"/>
      </w:pPr>
      <w:r>
        <w:t>Special educational needs — PRE.5.i (Achievement)</w:t>
      </w:r>
    </w:p>
    <w:p>
      <w:pPr>
        <w:pStyle w:val="ListBullet"/>
      </w:pPr>
      <w:r>
        <w:t>Identified-need records in the patient chart.</w:t>
      </w:r>
    </w:p>
    <w:p>
      <w:pPr>
        <w:pStyle w:val="ListBullet"/>
      </w:pPr>
      <w:r>
        <w:t>Corresponding adapted-education or counselling records showing the need was met.</w:t>
      </w:r>
    </w:p>
    <w:p>
      <w:pPr>
        <w:pStyle w:val="Heading2"/>
      </w:pPr>
      <w:r>
        <w:t>Patient engagement — PRE.5.j (Excellence)</w:t>
      </w:r>
    </w:p>
    <w:p>
      <w:pPr>
        <w:pStyle w:val="ListBullet"/>
      </w:pPr>
      <w:r>
        <w:t>Engagement activity records — support group sessions, advisory council meetings, safety champion appointments, and patient safety incident reports received from patients or families.</w:t>
      </w:r>
    </w:p>
    <w:p>
      <w:pPr>
        <w:pStyle w:val="Heading1"/>
      </w:pPr>
      <w:r>
        <w:t>14. References</w:t>
      </w:r>
    </w:p>
    <w:p>
      <w:pPr>
        <w:pStyle w:val="ListNumber"/>
      </w:pPr>
      <w:r>
        <w:t>National Accreditation Board for Hospitals and Healthcare Providers. NABH Accreditation Standards for Hospitals, 6th Edition. PRE.5.</w:t>
      </w:r>
    </w:p>
    <w:p>
      <w:pPr>
        <w:pStyle w:val="ListNumber"/>
      </w:pPr>
      <w:r>
        <w:t>Guidebook interpretation supplied for PRE.5.a through PRE.5.j.</w:t>
      </w:r>
    </w:p>
    <w:p>
      <w:pPr>
        <w:pStyle w:val="Heading1"/>
      </w:pPr>
      <w:r>
        <w:t>Disclaimer</w:t>
      </w:r>
    </w:p>
    <w:p>
      <w:pPr/>
      <w:r>
        <w:t>This policy reorganises the supplied PRE.5 objective-element wording and Guidebook interpretation into plain-language guidance for «Hospital Name». It does not replace the NABH Accreditation Standards for Hospitals, 6th Edition, or the Guidebook, which remain the authoritative source in case of any conflict.</w:t>
      </w:r>
    </w:p>
    <w:p>
      <w:pPr/>
      <w:r>
        <w:t>This policy is intended for accreditation and internal governance purposes and is not a statement of, or substitute for, compliance with any specific statute; «Hospital Name» remains separately responsible for meeting all applicable statutory and regulatory requirements.</w:t>
      </w:r>
    </w:p>
    <w:p>
      <w:pPr/>
      <w:r>
        <w:t>This policy shall be reviewed at least once every year, or earlier if NABH standards change.</w:t>
      </w:r>
    </w:p>
    <w:p>
      <w:pPr/>
      <w:r>
        <w:t>This policy is the property of «Hospital Name» and is not to be reproduced or distributed outside the organisation without authorisation.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