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Anaesthesia Services</w:t>
      </w:r>
    </w:p>
    <w:p>
      <w:r>
        <w:t>«Hospital Name» — SOP-COP.10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SOP-COP.10</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anaesthesia services are administered consistently and safely across every named location; how the pre-anaesthesia assessment produces a documented plan and the pre-induction assessment confirms it; how informed consent for anaesthesia is obtained before induction; how the patient is monitored contemporaneously while under anaesthesia; how post-anaesthesia monitoring and objective, criteria-based discharge from recovery are documented; how the type of anaesthesia and the anaesthetic medicines are recorded; and how intra-operative adverse anaesthesia events are recorded and reviewed.</w:t>
            </w:r>
          </w:p>
        </w:tc>
      </w:tr>
    </w:tbl>
    <w:p/>
    <w:tbl>
      <w:tblPr>
        <w:tblStyle w:val="TableGrid"/>
        <w:tblW w:type="auto" w:w="0"/>
        <w:tblLook w:firstColumn="1" w:firstRow="1" w:lastColumn="0" w:lastRow="0" w:noHBand="0" w:noVBand="1" w:val="04A0"/>
      </w:tblPr>
      <w:tblGrid>
        <w:gridCol w:w="8640"/>
      </w:tblGrid>
      <w:tr>
        <w:tc>
          <w:tcPr>
            <w:tcW w:type="dxa" w:w="8640"/>
          </w:tcPr>
          <w:p>
            <w:r>
              <w:t>A monitoring chart is found to have been filled in from memory at the end of a case, rather than as the case went along. This SOP is what treats that as reconstruction, not monitoring -- and requires every parameter to be recorded contemporaneously, with a documented reason whenever one genuinely cannot be obtained.</w:t>
            </w:r>
          </w:p>
        </w:tc>
      </w:tr>
    </w:tbl>
    <w:p/>
    <w:tbl>
      <w:tblPr>
        <w:tblStyle w:val="TableGrid"/>
        <w:tblW w:type="auto" w:w="0"/>
        <w:tblLook w:firstColumn="1" w:firstRow="1" w:lastColumn="0" w:lastRow="0" w:noHBand="0" w:noVBand="1" w:val="04A0"/>
      </w:tblPr>
      <w:tblGrid>
        <w:gridCol w:w="8640"/>
      </w:tblGrid>
      <w:tr>
        <w:tc>
          <w:tcPr>
            <w:tcW w:type="dxa" w:w="8640"/>
          </w:tcPr>
          <w:p>
            <w:r>
              <w:t>We do this because a folder of downloaded anaesthesia standards in the office, unused by a visiting practitioner's private habit, is not a consistent and safe service -- it is a document and a habit, coexisting -- and because a recovery discharge timed to the porter's arrival, rather than to the patient actually meeting the criteria, returns an unstable patient to a ward that believes recovery has already happened.</w:t>
            </w:r>
          </w:p>
        </w:tc>
      </w:tr>
    </w:tbl>
    <w:p/>
    <w:p>
      <w:r>
        <w:t>To define how anaesthesia is administered consistently and safely; how the pre-anaesthesia plan and pre-induction check work; how consent is obtained before induction; how the patient is monitored contemporaneously; how recovery discharge is judged; how type and medicines are recorded; and how adverse events are recorded and reviewed.</w:t>
      </w:r>
    </w:p>
    <w:p>
      <w:pPr>
        <w:pStyle w:val="Heading1"/>
      </w:pPr>
      <w:r>
        <w:t>2. Scope</w:t>
      </w:r>
    </w:p>
    <w:p>
      <w:r>
        <w:rPr>
          <w:i/>
        </w:rPr>
        <w:t xml:space="preserve">Why: </w:t>
      </w:r>
      <w:r>
        <w:t>so every location that administers anaesthesia -- theatre, any other named location, recovery -- follows the same safety standard.</w:t>
      </w:r>
    </w:p>
    <w:p>
      <w:r>
        <w:t>Applies to every location in which «Hospital Name» administers anaesthesia -- the operation theatre, any other named anaesthesia location, and the recovery area -- and to the registered medical practitioner who administers, the person who assists and monitors, the clinician who performs the assessments and obtains consent, and recovery-area staff.</w:t>
      </w:r>
    </w:p>
    <w:p>
      <w:pPr>
        <w:pStyle w:val="Heading1"/>
      </w:pPr>
      <w:r>
        <w:t>3. Responsibility</w:t>
      </w:r>
    </w:p>
    <w:p>
      <w:r>
        <w:rPr>
          <w:i/>
        </w:rPr>
        <w:t xml:space="preserve">Why: </w:t>
      </w:r>
      <w:r>
        <w:t>a plan never written, a consent taken after induction, or a monitoring chart reconstructed from memory are each a failure that only shows up when something has already gone wrong.</w:t>
      </w:r>
    </w:p>
    <w:p>
      <w:r>
        <w:rPr>
          <w:b/>
        </w:rPr>
        <w:t xml:space="preserve">Person in Charge of Anaesthesia: </w:t>
      </w:r>
      <w:r>
        <w:t>Authors and keeps current the written anaesthesia guidance, the pre-anaesthesia assessment method and plan fields, the monitoring record, and the recovery criteria.</w:t>
      </w:r>
    </w:p>
    <w:p>
      <w:r>
        <w:rPr>
          <w:b/>
        </w:rPr>
        <w:t xml:space="preserve">Registered Medical Practitioner Administering Anaesthesia: </w:t>
      </w:r>
      <w:r>
        <w:t>Uses the documented plan, performs the pre-induction assessment, confirms consent, monitors the patient contemporaneously, records type/medicines and adverse events, and does not start anaesthesia where the guidance cannot be met.</w:t>
      </w:r>
    </w:p>
    <w:p>
      <w:r>
        <w:rPr>
          <w:b/>
        </w:rPr>
        <w:t xml:space="preserve">Person Assisting/Recording Monitoring: </w:t>
      </w:r>
      <w:r>
        <w:t>Records monitoring as it happens -- never reconstructs the chart at the end of the case.</w:t>
      </w:r>
    </w:p>
    <w:p>
      <w:r>
        <w:rPr>
          <w:b/>
        </w:rPr>
        <w:t xml:space="preserve">Person Judging Recovery Discharge: </w:t>
      </w:r>
      <w:r>
        <w:t>Applies the objective discharge criteria and records the judgement -- never discharges because the next case is waiting.</w:t>
      </w:r>
    </w:p>
    <w:p>
      <w:r>
        <w:rPr>
          <w:b/>
        </w:rPr>
        <w:t xml:space="preserve">Human Resource Function: </w:t>
      </w:r>
      <w:r>
        <w:t>Verifies current National Medical Commission Act / State Medical Council registration and hospital-defined anaesthesia competence before any assignment to administer anaesthesia.</w:t>
      </w:r>
    </w:p>
    <w:p>
      <w:r>
        <w:rPr>
          <w:b/>
        </w:rPr>
        <w:t xml:space="preserve">Quality/Accreditation Coordinator: </w:t>
      </w:r>
      <w:r>
        <w:t>Audits location compliance, the documented plan, pre-induction timing, consent, contemporaneous monitoring, type/medicines documentation, adverse-event review, and recovery discharge on the defined interval.</w:t>
      </w:r>
    </w:p>
    <w:p>
      <w:pPr>
        <w:pStyle w:val="Heading1"/>
      </w:pPr>
      <w:r>
        <w:t>4. What to do</w:t>
      </w:r>
    </w:p>
    <w:p>
      <w:pPr>
        <w:pStyle w:val="Heading2"/>
      </w:pPr>
      <w:r>
        <w:t>Anaesthesia administered in a consistent and safe manner</w:t>
      </w:r>
    </w:p>
    <w:p>
      <w:r>
        <w:rPr>
          <w:i/>
        </w:rPr>
        <w:t xml:space="preserve">Why: </w:t>
      </w:r>
      <w:r>
        <w:t>A folder of downloaded anaesthesia standards in the office, unused by the visiting practitioner's private habit, is not a consistent and safe service -- it is a document and a habit, coexisting.</w:t>
      </w:r>
    </w:p>
    <w:p>
      <w:r>
        <w:t>The hospital's defined locations in which anaesthesia may be administered, and the types of anaesthesia provided, is the written guidance every one of those locations actually works from; a type not provided is named as not provided.</w:t>
      </w:r>
    </w:p>
    <w:p>
      <w:r>
        <w:t>A person administers anaesthesia only if their registration under the National Medical Commission Act, 2019 and the State Medical Council is current, and only within the hospital-defined competence it has verified for that type and location.</w:t>
      </w:r>
    </w:p>
    <w:p>
      <w:r>
        <w:t>The hospital's defined pre-anaesthesia checklist is checked before anaesthesia begins, and a location missing any item does not start until the gap is corrected.</w:t>
      </w:r>
    </w:p>
    <w:p>
      <w:pPr>
        <w:pStyle w:val="Heading2"/>
      </w:pPr>
      <w:r>
        <w:t>Pre-anaesthesia assessment resulting in a documented plan</w:t>
      </w:r>
    </w:p>
    <w:p>
      <w:r>
        <w:rPr>
          <w:i/>
        </w:rPr>
        <w:t xml:space="preserve">Why: </w:t>
      </w:r>
      <w:r>
        <w:t>A note that says 'fit for anaesthesia' with nothing under a heading titled 'plan' is an opinion, not the plan this step requires.</w:t>
      </w:r>
    </w:p>
    <w:p>
      <w:r>
        <w:t>The hospital's defined process for who performs the pre-anaesthesia assessment and when, covering at least identity against the two identifiers, the planned procedure so far as known, relevant history and examination, airway and fasting information, relevant investigation findings, and the risks that shape the plan, is followed.</w:t>
      </w:r>
    </w:p>
    <w:p>
      <w:r>
        <w:t>The assessment produces a documented plan -- the intended type, the intended airway or regional strategy, the planned monitoring, and the fallback if that strategy cannot be used -- written before anaesthesia is given.</w:t>
      </w:r>
    </w:p>
    <w:p>
      <w:r>
        <w:t>Where the anaesthetic is an emergency, the assessment that was possible and the plan for that emergency are recorded before induction so far as the emergency allows; the plan is never skipped because the case is urgent.</w:t>
      </w:r>
    </w:p>
    <w:p>
      <w:pPr>
        <w:pStyle w:val="Heading2"/>
      </w:pPr>
      <w:r>
        <w:t>Pre-induction assessment performed and documented</w:t>
      </w:r>
    </w:p>
    <w:p>
      <w:r>
        <w:rPr>
          <w:i/>
        </w:rPr>
        <w:t xml:space="preserve">Why: </w:t>
      </w:r>
      <w:r>
        <w:t>Repeating the full history at the door of theatre is not a substitute for the plan; skipping the immediate pre-induction check because a plan already exists is not a substitute for this step.</w:t>
      </w:r>
    </w:p>
    <w:p>
      <w:r>
        <w:t>The hospital's defined person performs the pre-induction assessment immediately before induction, confirming identity, that anaesthesia consent is present, and that the documented plan still applies.</w:t>
      </w:r>
    </w:p>
    <w:p>
      <w:r>
        <w:t>Any change since the pre-anaesthesia assessment that alters the plan is written before induction proceeds.</w:t>
      </w:r>
    </w:p>
    <w:p>
      <w:r>
        <w:t>The pre-induction assessment is recorded against the unique identification number, distinct from the earlier pre-anaesthesia assessment.</w:t>
      </w:r>
    </w:p>
    <w:p>
      <w:pPr>
        <w:pStyle w:val="Heading2"/>
      </w:pPr>
      <w:r>
        <w:t>Informed consent for administration of anaesthesia</w:t>
      </w:r>
    </w:p>
    <w:p>
      <w:r>
        <w:rPr>
          <w:i/>
        </w:rPr>
        <w:t xml:space="preserve">Why: </w:t>
      </w:r>
      <w:r>
        <w:t>A surgical consent that never mentions anaesthesia, when anaesthesia is then given, is not consent for the anaesthetic that was actually administered.</w:t>
      </w:r>
    </w:p>
    <w:p>
      <w:r>
        <w:t>The hospital's defined method for recording informed consent for anaesthesia is completed before induction, in every case including a child or a patient who cannot consent, following the hospital's patient-rights consent method for who signs.</w:t>
      </w:r>
    </w:p>
    <w:p>
      <w:r>
        <w:t>A signature obtained after induction, or a surgical consent silent on anaesthesia, is never treated as consent for administration of anaesthesia.</w:t>
      </w:r>
    </w:p>
    <w:p>
      <w:r>
        <w:t>Consent timing is recorded against the unique identification number for every anaesthetic.</w:t>
      </w:r>
    </w:p>
    <w:p>
      <w:pPr>
        <w:pStyle w:val="Heading2"/>
      </w:pPr>
      <w:r>
        <w:t>Monitoring the patient while under anaesthesia</w:t>
      </w:r>
    </w:p>
    <w:p>
      <w:r>
        <w:rPr>
          <w:i/>
        </w:rPr>
        <w:t xml:space="preserve">Why: </w:t>
      </w:r>
      <w:r>
        <w:t>A monitor that was switched on in the room, with the chart filled in from memory at the end of the case, is reconstruction -- not monitoring while under anaesthesia.</w:t>
      </w:r>
    </w:p>
    <w:p>
      <w:r>
        <w:t>The hospital's defined parameters monitored while under anaesthesia are recorded contemporaneously for the whole period from induction until handover to recovery -- never filled in afterward from memory.</w:t>
      </w:r>
    </w:p>
    <w:p>
      <w:r>
        <w:t>If a parameter cannot be obtained, the reason is recorded; anaesthesia does not continue as if the parameter were present without a documented clinical reason.</w:t>
      </w:r>
    </w:p>
    <w:p>
      <w:r>
        <w:t>Where regional anaesthesia is provided, identity and site checks are applied before the block is performed. All monitoring is recorded against the unique identification number.</w:t>
      </w:r>
    </w:p>
    <w:p>
      <w:pPr>
        <w:pStyle w:val="Heading2"/>
      </w:pPr>
      <w:r>
        <w:t>Post-anaesthesia monitoring and objective discharge from recovery</w:t>
      </w:r>
    </w:p>
    <w:p>
      <w:r>
        <w:rPr>
          <w:i/>
        </w:rPr>
        <w:t xml:space="preserve">Why: </w:t>
      </w:r>
      <w:r>
        <w:t>A recovery discharge timed to the porter's arrival, rather than to the patient actually meeting the criteria, returns an unstable patient to a ward that believes recovery has already happened.</w:t>
      </w:r>
    </w:p>
    <w:p>
      <w:r>
        <w:t>Every patient is transferred to the hospital's defined recovery area after anaesthesia -- not a corridor or an unmonitored waiting chair -- where the hospital's defined post-anaesthesia observations are documented.</w:t>
      </w:r>
    </w:p>
    <w:p>
      <w:r>
        <w:t>The patient is discharged from the recovery area only against the hospital's defined objective discharge criteria, judged and recorded by the hospital's defined person -- never because the theatre list has moved on.</w:t>
      </w:r>
    </w:p>
    <w:p>
      <w:r>
        <w:t>Recovery observations and the discharge judgement are recorded against the unique identification number; this is post-anaesthesia recovery, a sibling process to post-sedation recovery, not automatically the same form.</w:t>
      </w:r>
    </w:p>
    <w:p>
      <w:pPr>
        <w:pStyle w:val="Heading2"/>
      </w:pPr>
      <w:r>
        <w:t>Type of anaesthesia and anaesthetic medicines in the patient record</w:t>
      </w:r>
    </w:p>
    <w:p>
      <w:r>
        <w:rPr>
          <w:i/>
        </w:rPr>
        <w:t xml:space="preserve">Why: </w:t>
      </w:r>
      <w:r>
        <w:t>A medicine that was given but never entered in the record is an incomplete anaesthetic-care record, whatever actually happened in the theatre.</w:t>
      </w:r>
    </w:p>
    <w:p>
      <w:r>
        <w:t>The type of anaesthesia actually given, and every anaesthetic medicine used, are documented in the patient record against the unique identification number.</w:t>
      </w:r>
    </w:p>
    <w:p>
      <w:r>
        <w:t>Where the type actually given differs from the type planned, the record says so.</w:t>
      </w:r>
    </w:p>
    <w:p>
      <w:pPr>
        <w:pStyle w:val="Heading2"/>
      </w:pPr>
      <w:r>
        <w:t>Intra-operative adverse anaesthesia events recorded and monitored</w:t>
      </w:r>
    </w:p>
    <w:p>
      <w:r>
        <w:rPr>
          <w:i/>
        </w:rPr>
        <w:t xml:space="preserve">Why: </w:t>
      </w:r>
      <w:r>
        <w:t>An adverse event that is managed and then only remembered is not recorded; an event that is recorded and never reviewed is not monitored.</w:t>
      </w:r>
    </w:p>
    <w:p>
      <w:r>
        <w:t>The hospital's defined list of what counts as an intra-operative adverse anaesthesia event is recorded in the patient record and in the event register or equivalent as soon as it occurs.</w:t>
      </w:r>
    </w:p>
    <w:p>
      <w:r>
        <w:t>Events are reviewed at the hospital's defined forum, and corrective action from that review is recorded.</w:t>
      </w:r>
    </w:p>
    <w:p>
      <w:pPr>
        <w:pStyle w:val="Heading1"/>
      </w:pPr>
      <w:r>
        <w:t>5. Records</w:t>
      </w:r>
    </w:p>
    <w:p>
      <w:r>
        <w:t>This SOP produces and maintains Records 1-8 (see the COP.10 Records folder).</w:t>
      </w:r>
    </w:p>
    <w:p>
      <w:pPr>
        <w:pStyle w:val="Heading1"/>
      </w:pPr>
      <w:r>
        <w:t>6. Related SOPs</w:t>
      </w:r>
    </w:p>
    <w:p>
      <w:pPr>
        <w:pStyle w:val="ListParagraph"/>
      </w:pPr>
      <w:r>
        <w:t>Policy on Anaesthesia Services (COP.10)</w:t>
      </w:r>
    </w:p>
    <w:p>
      <w:pPr>
        <w:pStyle w:val="ListParagraph"/>
      </w:pPr>
      <w:r>
        <w:t>Hospital's Procedural Sedation SOP (COP.9)</w:t>
      </w:r>
    </w:p>
    <w:p>
      <w:pPr>
        <w:pStyle w:val="ListParagraph"/>
      </w:pPr>
      <w:r>
        <w:t>Hospital's Cardio-Pulmonary Resuscitation SOP (COP.3)</w:t>
      </w:r>
    </w:p>
    <w:p>
      <w:pPr>
        <w:pStyle w:val="Heading1"/>
      </w:pPr>
      <w:r>
        <w:t>7. Review</w:t>
      </w:r>
    </w:p>
    <w:p>
      <w:r>
        <w:t>This SOP is reviewed annually, or sooner if a missing plan, a reconstructed monitoring chart, an unplanned deepening from sedation that was not handed here, or a recovery discharge that did not meet the criteria exposes a gap, or if the sedation, procedures, medication, sterilisation or patient-rights processes this SOP hands work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Anaesthesia administered in a consistent and safe manner — COP.10.a</w:t>
      </w:r>
    </w:p>
    <w:p>
      <w:r>
        <w:rPr>
          <w:i/>
        </w:rPr>
        <w:t>Verified source(s):</w:t>
      </w:r>
    </w:p>
    <w:p>
      <w:pPr>
        <w:pStyle w:val="ListParagraph"/>
      </w:pPr>
      <w:r>
        <w:t xml:space="preserve">• </w:t>
      </w:r>
      <w:r>
        <w:t xml:space="preserve">Government of India. (2019). </w:t>
      </w:r>
      <w:hyperlink r:id="rId9">
        <w:r>
          <w:rPr>
            <w:color w:val="0563C1"/>
            <w:u w:val="single"/>
          </w:rPr>
          <w:t>The National Medical Commission Act, 2019</w:t>
        </w:r>
      </w:hyperlink>
      <w:r>
        <w:t xml:space="preserve"> (Act No. 30 of 2019), s. 34 (Bar to practice), under which no person other than one enrolled in the State Register or the National Register may practise medicine as a qualified medical practitioner, with contravention punishable by imprisonment up to one year, a fine up to five lakh rupees, or both.</w:t>
      </w:r>
    </w:p>
    <w:p>
      <w:pPr>
        <w:pStyle w:val="Heading2"/>
      </w:pPr>
      <w:r>
        <w:t>Pre-anaesthesia assessment resulting in a documented plan — COP.10.b</w:t>
      </w:r>
    </w:p>
    <w:p>
      <w:pPr>
        <w:pStyle w:val="Heading2"/>
      </w:pPr>
      <w:r>
        <w:t>Pre-induction assessment performed and documented — COP.10.c</w:t>
      </w:r>
    </w:p>
    <w:p>
      <w:pPr>
        <w:pStyle w:val="Heading2"/>
      </w:pPr>
      <w:r>
        <w:t>Informed consent for administration of anaesthesia — COP.10.d</w:t>
      </w:r>
    </w:p>
    <w:p>
      <w:pPr>
        <w:pStyle w:val="Heading2"/>
      </w:pPr>
      <w:r>
        <w:t>Monitoring the patient while under anaesthesia — COP.10.e</w:t>
      </w:r>
    </w:p>
    <w:p>
      <w:pPr>
        <w:pStyle w:val="Heading2"/>
      </w:pPr>
      <w:r>
        <w:t>Post-anaesthesia monitoring and objective discharge from recovery — COP.10.f</w:t>
      </w:r>
    </w:p>
    <w:p>
      <w:pPr>
        <w:pStyle w:val="Heading2"/>
      </w:pPr>
      <w:r>
        <w:t>Type of anaesthesia and anaesthetic medicines in the patient record — COP.10.g</w:t>
      </w:r>
    </w:p>
    <w:p>
      <w:r>
        <w:rPr>
          <w:i/>
        </w:rPr>
        <w:t>Boundary with other standards:</w:t>
      </w:r>
    </w:p>
    <w:p>
      <w:pPr>
        <w:pStyle w:val="ListParagraph"/>
      </w:pPr>
      <w:r>
        <w:t>• This record does not restate the medication policies' storage or controlled-drug account -- it owns only that the anaesthetic care record names the type and the medicines given.</w:t>
      </w:r>
    </w:p>
    <w:p>
      <w:pPr>
        <w:pStyle w:val="Heading2"/>
      </w:pPr>
      <w:r>
        <w:t>Intra-operative adverse anaesthesia events recorded and monitored — COP.10.h</w:t>
      </w:r>
    </w:p>
    <w:p>
      <w:r>
        <w:rPr>
          <w:i/>
        </w:rPr>
        <w:t>Boundary with other standards:</w:t>
      </w:r>
    </w:p>
    <w:p>
      <w:pPr>
        <w:pStyle w:val="ListParagraph"/>
      </w:pPr>
      <w:r>
        <w:t>• This step feeds anaesthesia events into a recorded and reviewed stream -- it does not write the hospital-wide incident-reporting policy.</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Care of Patients chapter, standard COP.10.</w:t>
      </w:r>
    </w:p>
    <w:p>
      <w:pPr>
        <w:pStyle w:val="ListParagraph"/>
      </w:pPr>
      <w:r>
        <w:t xml:space="preserve">• </w:t>
      </w:r>
      <w:r>
        <w:t xml:space="preserve">Government of India. (2019). </w:t>
      </w:r>
      <w:hyperlink r:id="rId9">
        <w:r>
          <w:rPr>
            <w:color w:val="0563C1"/>
            <w:u w:val="single"/>
          </w:rPr>
          <w:t>The National Medical Commission Act, 2019</w:t>
        </w:r>
      </w:hyperlink>
      <w:r>
        <w:t xml:space="preserve"> (Act No. 30 of 2019), s. 34 (Bar to practice), under which no person other than one enrolled in the State Register or the National Register may practise medicine as a qualified medical practitioner, with contravention punishable by imprisonment up to one year, a fine up to five lakh rupees, or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RSINDIA.org/files/bills_acts/bills_parliament/2019/National%20Medical%20Commission%20Act,%202019.pdf"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