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Identification and Management of Patients at Higher Risk of Morbidity and Mortality</w:t>
      </w:r>
    </w:p>
    <w:p>
      <w:r>
        <w:t>«Hospital Name» — SOP-COP.12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SOP-COP.12</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vulnerable patients are identified and managed; how a safe and secure care-environment is provided at the bedside; how patients at risk of fall, pressure ulcers and deep vein thrombosis are identified and managed; and how restraint is used only as a last-resort, time-limited, documented measure, with the additional statutory layer that applies where the patient has mental illness.</w:t>
            </w:r>
          </w:p>
        </w:tc>
      </w:tr>
    </w:tbl>
    <w:p/>
    <w:tbl>
      <w:tblPr>
        <w:tblStyle w:val="TableGrid"/>
        <w:tblW w:type="auto" w:w="0"/>
        <w:tblLook w:firstColumn="1" w:firstRow="1" w:lastColumn="0" w:lastRow="0" w:noHBand="0" w:noVBand="1" w:val="04A0"/>
      </w:tblPr>
      <w:tblGrid>
        <w:gridCol w:w="8640"/>
      </w:tblGrid>
      <w:tr>
        <w:tc>
          <w:tcPr>
            <w:tcW w:type="dxa" w:w="8640"/>
          </w:tcPr>
          <w:p>
            <w:r>
              <w:t>A nurse applies a restraint 'for safety' with no doctor's order, no clock and no record. This SOP is what forbids that outright -- restraint is used only on a recorded doctor's order stating the reason, the type, the start time and the latest review time, every single time, with no informal exception.</w:t>
            </w:r>
          </w:p>
        </w:tc>
      </w:tr>
    </w:tbl>
    <w:p/>
    <w:tbl>
      <w:tblPr>
        <w:tblStyle w:val="TableGrid"/>
        <w:tblW w:type="auto" w:w="0"/>
        <w:tblLook w:firstColumn="1" w:firstRow="1" w:lastColumn="0" w:lastRow="0" w:noHBand="0" w:noVBand="1" w:val="04A0"/>
      </w:tblPr>
      <w:tblGrid>
        <w:gridCol w:w="8640"/>
      </w:tblGrid>
      <w:tr>
        <w:tc>
          <w:tcPr>
            <w:tcW w:type="dxa" w:w="8640"/>
          </w:tcPr>
          <w:p>
            <w:r>
              <w:t>We do this because a flag that nobody reads is a label, not identification -- and a vulnerable patient left on an unattended trolley in a corridor as a holding pattern is exactly the ordinary-hospital-day harm this SOP exists to prevent, whether the risk is a fall, a pressure ulcer, or an undocumented restraint.</w:t>
            </w:r>
          </w:p>
        </w:tc>
      </w:tr>
    </w:tbl>
    <w:p/>
    <w:p>
      <w:r>
        <w:t>To define how vulnerable patients are identified and managed; how a safe care-environment is provided; how fall, pressure-ulcer and thrombosis risk are identified and managed; and how restraint is used only as a last-resort, time-limited, documented measure.</w:t>
      </w:r>
    </w:p>
    <w:p>
      <w:pPr>
        <w:pStyle w:val="Heading1"/>
      </w:pPr>
      <w:r>
        <w:t>2. Scope</w:t>
      </w:r>
    </w:p>
    <w:p>
      <w:r>
        <w:rPr>
          <w:i/>
        </w:rPr>
        <w:t xml:space="preserve">Why: </w:t>
      </w:r>
      <w:r>
        <w:t>so every clinical setting where a patient may be vulnerable -- wards, day-care, emergency, ICU, theatre -- follows the same identification and safety standard.</w:t>
      </w:r>
    </w:p>
    <w:p>
      <w:r>
        <w:t>Applies to every clinical setting of «Hospital Name» in which a patient may be vulnerable or at higher risk -- in-patient wards, day-care, the emergency area, intensive or high-dependency areas, and the operating theatre and recovery insofar as these risks arise there.</w:t>
      </w:r>
    </w:p>
    <w:p>
      <w:pPr>
        <w:pStyle w:val="Heading1"/>
      </w:pPr>
      <w:r>
        <w:t>3. Responsibility</w:t>
      </w:r>
    </w:p>
    <w:p>
      <w:r>
        <w:rPr>
          <w:i/>
        </w:rPr>
        <w:t xml:space="preserve">Why: </w:t>
      </w:r>
      <w:r>
        <w:t>a flag nobody applies, or a restraint applied with no order and no clock, is exactly the kind of undocumented harm this SOP exists to catch.</w:t>
      </w:r>
    </w:p>
    <w:p>
      <w:r>
        <w:rPr>
          <w:b/>
        </w:rPr>
        <w:t xml:space="preserve">Named Vulnerable-Patient Programme Lead: </w:t>
      </w:r>
      <w:r>
        <w:t>Keeps the vulnerable-patient category list current and reviews that flags are actually applied, not just ticked.</w:t>
      </w:r>
    </w:p>
    <w:p>
      <w:r>
        <w:rPr>
          <w:b/>
        </w:rPr>
        <w:t xml:space="preserve">Treating Clinicians: </w:t>
      </w:r>
      <w:r>
        <w:t>Identify risk, order prophylaxis or restraint when indicated, and review restraint at the stated interval.</w:t>
      </w:r>
    </w:p>
    <w:p>
      <w:r>
        <w:rPr>
          <w:b/>
        </w:rPr>
        <w:t xml:space="preserve">Nursing Staff: </w:t>
      </w:r>
      <w:r>
        <w:t>Apply identification tools and management measures, apply restraint only under a doctor's order, observe the restrained patient continuously, and record falls, ulcers and restraint episodes.</w:t>
      </w:r>
    </w:p>
    <w:p>
      <w:r>
        <w:rPr>
          <w:b/>
        </w:rPr>
        <w:t xml:space="preserve">Facility Function: </w:t>
      </w:r>
      <w:r>
        <w:t>Provides building security under its own policies; the bedside care-environment remains this SOP's responsibility.</w:t>
      </w:r>
    </w:p>
    <w:p>
      <w:r>
        <w:rPr>
          <w:b/>
        </w:rPr>
        <w:t xml:space="preserve">Quality/Accreditation Coordinator: </w:t>
      </w:r>
      <w:r>
        <w:t>Audits vulnerable-patient flags, falls/pressure-ulcer/thrombosis identification and measures, and restraint episodes for a doctor's order, review time, observations and stop time, on the defined interval.</w:t>
      </w:r>
    </w:p>
    <w:p>
      <w:pPr>
        <w:pStyle w:val="Heading1"/>
      </w:pPr>
      <w:r>
        <w:t>4. What to do</w:t>
      </w:r>
    </w:p>
    <w:p>
      <w:pPr>
        <w:pStyle w:val="Heading2"/>
      </w:pPr>
      <w:r>
        <w:t>Identifying and managing vulnerable patients</w:t>
      </w:r>
    </w:p>
    <w:p>
      <w:r>
        <w:rPr>
          <w:i/>
        </w:rPr>
        <w:t xml:space="preserve">Why: </w:t>
      </w:r>
      <w:r>
        <w:t>A flag that nobody reads is a label, not identification -- and so is a flag applied to every single patient, because then it means nothing.</w:t>
      </w:r>
    </w:p>
    <w:p>
      <w:r>
        <w:t>The hospital's defined categories of vulnerable patient are applied at first clinical contact and repeated on change of condition, using the hospital's defined identification and recording method.</w:t>
      </w:r>
    </w:p>
    <w:p>
      <w:r>
        <w:t>The hospital's defined management measures once a patient is identified as vulnerable actually change what happens next -- observations, accompaniment, environment -- not just the paperwork.</w:t>
      </w:r>
    </w:p>
    <w:p>
      <w:r>
        <w:t>The category list and the pattern of flags applied are reviewed by the hospital's named lead, who investigates a period where nobody or everybody was flagged.</w:t>
      </w:r>
    </w:p>
    <w:p>
      <w:pPr>
        <w:pStyle w:val="Heading2"/>
      </w:pPr>
      <w:r>
        <w:t>Safe and secure care-environment for the vulnerable patient</w:t>
      </w:r>
    </w:p>
    <w:p>
      <w:r>
        <w:rPr>
          <w:i/>
        </w:rPr>
        <w:t xml:space="preserve">Why: </w:t>
      </w:r>
      <w:r>
        <w:t>A vulnerable patient left on an unattended trolley in a corridor as a holding pattern is exactly the ordinary-hospital-day harm this step exists to prevent.</w:t>
      </w:r>
    </w:p>
    <w:p>
      <w:r>
        <w:t>The hospital's defined care-environment measures for vulnerable patients -- a call method the patient can use, accompaniment when leaving the unit, and lighting/toileting access matched to ability, and how a missing vulnerable patient is noticed and who is called -- is in force at the bedside.</w:t>
      </w:r>
    </w:p>
    <w:p>
      <w:r>
        <w:t>A vulnerable patient is never left in a public corridor, an unlocked bathroom, or an unattended trolley as a holding pattern.</w:t>
      </w:r>
    </w:p>
    <w:p>
      <w:pPr>
        <w:pStyle w:val="Heading2"/>
      </w:pPr>
      <w:r>
        <w:t>Patients at risk of fall</w:t>
      </w:r>
    </w:p>
    <w:p>
      <w:r>
        <w:rPr>
          <w:i/>
        </w:rPr>
        <w:t xml:space="preserve">Why: </w:t>
      </w:r>
      <w:r>
        <w:t>A falls score calculated once at admission and never looked at again is not managing fall risk -- it is filing it.</w:t>
      </w:r>
    </w:p>
    <w:p>
      <w:r>
        <w:t>The hospital's defined method for identifying patients at risk of fall is applied at first contact and repeated when condition, medication or mobility changes, recorded against the unique identification number.</w:t>
      </w:r>
    </w:p>
    <w:p>
      <w:r>
        <w:t>The hospital's defined measures for a patient identified at risk of fall are in place for every patient so identified.</w:t>
      </w:r>
    </w:p>
    <w:p>
      <w:r>
        <w:t>Any fall that occurs is recorded and reported per the hospital's defined process, the patient is assessed, and the identification and measures are reviewed.</w:t>
      </w:r>
    </w:p>
    <w:p>
      <w:pPr>
        <w:pStyle w:val="Heading2"/>
      </w:pPr>
      <w:r>
        <w:t>Patients at risk of pressure ulcers</w:t>
      </w:r>
    </w:p>
    <w:p>
      <w:r>
        <w:rPr>
          <w:i/>
        </w:rPr>
        <w:t xml:space="preserve">Why: </w:t>
      </w:r>
      <w:r>
        <w:t>A patient who already has a pressure ulcer is at risk of it worsening -- this programme does not stop at patients with intact skin.</w:t>
      </w:r>
    </w:p>
    <w:p>
      <w:r>
        <w:t>The hospital's defined method for identifying patients at risk of developing or worsening pressure ulcers is applied to every patient, including one who already has an ulcer.</w:t>
      </w:r>
    </w:p>
    <w:p>
      <w:r>
        <w:t>The hospital's defined measures to prevent developing or worsening pressure ulcers, including skin inspection and repositioning, are in place once a patient is identified at risk.</w:t>
      </w:r>
    </w:p>
    <w:p>
      <w:r>
        <w:t>Any existing ulcer is described using the hospital's defined method and reassessed at the defined interval.</w:t>
      </w:r>
    </w:p>
    <w:p>
      <w:pPr>
        <w:pStyle w:val="Heading2"/>
      </w:pPr>
      <w:r>
        <w:t>Patients at risk of deep vein thrombosis</w:t>
      </w:r>
    </w:p>
    <w:p>
      <w:r>
        <w:rPr>
          <w:i/>
        </w:rPr>
        <w:t xml:space="preserve">Why: </w:t>
      </w:r>
      <w:r>
        <w:t>Identifying thrombosis risk without a prophylaxis decision to go with it is half this step -- the identification is only the trigger for the measure.</w:t>
      </w:r>
    </w:p>
    <w:p>
      <w:r>
        <w:t>The hospital's defined method for identifying patients at risk of developing or worsening deep vein thrombosis is applied and recorded against the unique identification number.</w:t>
      </w:r>
    </w:p>
    <w:p>
      <w:r>
        <w:t>The hospital's defined measures for a patient at risk, including mechanical and, where indicated, pharmacological options, are put in place; pharmacological prophylaxis is prescribed and administered under the medication policies.</w:t>
      </w:r>
    </w:p>
    <w:p>
      <w:r>
        <w:t>Any contraindication to a chosen measure is recorded rather than silently skipped.</w:t>
      </w:r>
    </w:p>
    <w:p>
      <w:pPr>
        <w:pStyle w:val="Heading2"/>
      </w:pPr>
      <w:r>
        <w:t>Patients who need restraints</w:t>
      </w:r>
    </w:p>
    <w:p>
      <w:r>
        <w:rPr>
          <w:i/>
        </w:rPr>
        <w:t xml:space="preserve">Why: </w:t>
      </w:r>
      <w:r>
        <w:t>A device applied by a nurse 'for safety', with no order, no clock and no record, is forbidden here -- that is exactly the practice that remains undiscovered until the next shift or until the patient is injured by it.</w:t>
      </w:r>
    </w:p>
    <w:p>
      <w:r>
        <w:t>Where the patient has mental illness, restraint and seclusion follow the Mental Healthcare Act, 2017: seclusion is prohibited outright; physical restraint is used only when it is the only means to prevent imminent, immediate harm to the person or others, is authorised by the psychiatrist in charge, lasts no longer than necessary, and is never used as punishment or because the ward is short-staffed.</w:t>
      </w:r>
    </w:p>
    <w:p>
      <w:r>
        <w:t>Where the patient does not have mental illness, restraint is still last-resort, time-limited and documented: used only when less restrictive measures have been tried or are not possible, only to prevent imminent harm, never as punishment or for staff convenience, and only on a recorded doctor's order stating the reason, the type, the start time and the latest review time.</w:t>
      </w:r>
    </w:p>
    <w:p>
      <w:r>
        <w:t>Every episode -- for either group -- is recorded against the unique identification number with indication, less-restrictive measures tried, type, start and stop times, continuous observations, the ordering/authorising clinician, the nominated representative or family informed, and any injury, and is reviewed at the hospital's defined forum and interval.</w:t>
      </w:r>
    </w:p>
    <w:p>
      <w:pPr>
        <w:pStyle w:val="Heading1"/>
      </w:pPr>
      <w:r>
        <w:t>5. Records</w:t>
      </w:r>
    </w:p>
    <w:p>
      <w:r>
        <w:t>This SOP produces and maintains Records 1-6 (see the COP.12 Records folder).</w:t>
      </w:r>
    </w:p>
    <w:p>
      <w:pPr>
        <w:pStyle w:val="Heading1"/>
      </w:pPr>
      <w:r>
        <w:t>6. Related SOPs</w:t>
      </w:r>
    </w:p>
    <w:p>
      <w:pPr>
        <w:pStyle w:val="ListParagraph"/>
      </w:pPr>
      <w:r>
        <w:t>Policy on Identification and Management of Patients at Higher Risk of Morbidity and Mortality (COP.12)</w:t>
      </w:r>
    </w:p>
    <w:p>
      <w:pPr>
        <w:pStyle w:val="ListParagraph"/>
      </w:pPr>
      <w:r>
        <w:t>Hospital's Assessment SOP (AAC.3)</w:t>
      </w:r>
    </w:p>
    <w:p>
      <w:pPr>
        <w:pStyle w:val="ListParagraph"/>
      </w:pPr>
      <w:r>
        <w:t>Hospital's Paediatric and Neonatal Services SOP (COP.8)</w:t>
      </w:r>
    </w:p>
    <w:p>
      <w:pPr>
        <w:pStyle w:val="Heading1"/>
      </w:pPr>
      <w:r>
        <w:t>7. Review</w:t>
      </w:r>
    </w:p>
    <w:p>
      <w:r>
        <w:t>This SOP is reviewed annually, or sooner if a serious fall, a stage-worsened pressure ulcer, a hospital-acquired thrombosis, a restraint injury, or an unauthorised restraint occurs, or if the assessment, facility, paediatric, medication or patient-rights processes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Identifying and managing vulnerable patients — COP.12.a</w:t>
      </w:r>
    </w:p>
    <w:p>
      <w:pPr>
        <w:pStyle w:val="Heading2"/>
      </w:pPr>
      <w:r>
        <w:t>Safe and secure care-environment for the vulnerable patient — COP.12.b</w:t>
      </w:r>
    </w:p>
    <w:p>
      <w:r>
        <w:rPr>
          <w:i/>
        </w:rPr>
        <w:t>Boundary with other standards:</w:t>
      </w:r>
    </w:p>
    <w:p>
      <w:pPr>
        <w:pStyle w:val="ListParagraph"/>
      </w:pPr>
      <w:r>
        <w:t>• Building security (locks, cameras, access control) is owned by the facility-management policies; this step does not duplicate them.</w:t>
      </w:r>
    </w:p>
    <w:p>
      <w:pPr>
        <w:pStyle w:val="Heading2"/>
      </w:pPr>
      <w:r>
        <w:t>Patients at risk of fall — COP.12.c</w:t>
      </w:r>
    </w:p>
    <w:p>
      <w:pPr>
        <w:pStyle w:val="Heading2"/>
      </w:pPr>
      <w:r>
        <w:t>Patients at risk of pressure ulcers — COP.12.d</w:t>
      </w:r>
    </w:p>
    <w:p>
      <w:pPr>
        <w:pStyle w:val="Heading2"/>
      </w:pPr>
      <w:r>
        <w:t>Patients at risk of deep vein thrombosis — COP.12.e</w:t>
      </w:r>
    </w:p>
    <w:p>
      <w:pPr>
        <w:pStyle w:val="Heading2"/>
      </w:pPr>
      <w:r>
        <w:t>Patients who need restraints — COP.12.f</w:t>
      </w:r>
    </w:p>
    <w:p>
      <w:r>
        <w:rPr>
          <w:i/>
        </w:rPr>
        <w:t>Verified source(s):</w:t>
      </w:r>
    </w:p>
    <w:p>
      <w:pPr>
        <w:pStyle w:val="ListParagraph"/>
      </w:pPr>
      <w:r>
        <w:t xml:space="preserve">• </w:t>
      </w:r>
      <w:r>
        <w:t xml:space="preserve">Government of India, Ministry of Health and Family Welfare. (2017). </w:t>
      </w:r>
      <w:hyperlink r:id="rId9">
        <w:r>
          <w:rPr>
            <w:color w:val="0563C1"/>
            <w:u w:val="single"/>
          </w:rPr>
          <w:t>The Mental Healthcare Act, 2017</w:t>
        </w:r>
      </w:hyperlink>
      <w:r>
        <w:t xml:space="preserve"> (Act No. 10 of 2017), s. 97 (Restraints and seclusion), under which seclusion is prohibited and physical restraint of a person with mental illness is permitted only as the sole means to prevent imminent, immediate harm, authorised by the treating psychiatrist, for no longer than necessary, promptly recorded, never used as punishment or for staff convenience, with the nominated representative informed within 24 hours.</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Care of Patients chapter, standard COP.12.</w:t>
      </w:r>
    </w:p>
    <w:p>
      <w:pPr>
        <w:pStyle w:val="ListParagraph"/>
      </w:pPr>
      <w:r>
        <w:t xml:space="preserve">• </w:t>
      </w:r>
      <w:r>
        <w:t xml:space="preserve">Government of India, Ministry of Health and Family Welfare. (2017). </w:t>
      </w:r>
      <w:hyperlink r:id="rId9">
        <w:r>
          <w:rPr>
            <w:color w:val="0563C1"/>
            <w:u w:val="single"/>
          </w:rPr>
          <w:t>The Mental Healthcare Act, 2017</w:t>
        </w:r>
      </w:hyperlink>
      <w:r>
        <w:t xml:space="preserve"> (Act No. 10 of 2017), s. 97 (Restraints and seclusion), under which seclusion is prohibited and physical restraint of a person with mental illness is permitted only as the sole means to prevent imminent, immediate harm, authorised by the treating psychiatrist, for no longer than necessary, promptly recorded, never used as punishment or for staff convenience, with the nominated representative informed within 24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handle/123456789/2249"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