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Pain Management, Rehabilitation Services and Nutritional Therapy</w:t>
      </w:r>
    </w:p>
    <w:p>
      <w:r>
        <w:t>«Hospital Name» — SOP-COP.13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SOP-COP.13</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patients in pain are identified and effectively managed, with alleviation titrated to need and response; how the rehabilitation scope matches the services this hospital has actually defined, and is planned collaboratively where it exists; and how every admitted patient is screened for nutritional risk, assessed if flagged, and served the therapeutic diet that was actually planned with dietetics.</w:t>
            </w:r>
          </w:p>
        </w:tc>
      </w:tr>
    </w:tbl>
    <w:p/>
    <w:tbl>
      <w:tblPr>
        <w:tblStyle w:val="TableGrid"/>
        <w:tblW w:type="auto" w:w="0"/>
        <w:tblLook w:firstColumn="1" w:firstRow="1" w:lastColumn="0" w:lastRow="0" w:noHBand="0" w:noVBand="1" w:val="04A0"/>
      </w:tblPr>
      <w:tblGrid>
        <w:gridCol w:w="8640"/>
      </w:tblGrid>
      <w:tr>
        <w:tc>
          <w:tcPr>
            <w:tcW w:type="dxa" w:w="8640"/>
          </w:tcPr>
          <w:p>
            <w:r>
              <w:t>A patient's pain score field is left blank on the chart. This SOP is what treats that blank as an incomplete assessment -- never as silent evidence that the patient has no pain.</w:t>
            </w:r>
          </w:p>
        </w:tc>
      </w:tr>
    </w:tbl>
    <w:p/>
    <w:tbl>
      <w:tblPr>
        <w:tblStyle w:val="TableGrid"/>
        <w:tblW w:type="auto" w:w="0"/>
        <w:tblLook w:firstColumn="1" w:firstRow="1" w:lastColumn="0" w:lastRow="0" w:noHBand="0" w:noVBand="1" w:val="04A0"/>
      </w:tblPr>
      <w:tblGrid>
        <w:gridCol w:w="8640"/>
      </w:tblGrid>
      <w:tr>
        <w:tc>
          <w:tcPr>
            <w:tcW w:type="dxa" w:w="8640"/>
          </w:tcPr>
          <w:p>
            <w:r>
              <w:t>We do this because a recorded zero that was never actually asked about is a false record, and it is exactly how unmanaged pain comes to look like managed pain -- and because a hospital that lists a service on the board with no one actually able to deliver it is holding out care it cannot provide.</w:t>
            </w:r>
          </w:p>
        </w:tc>
      </w:tr>
    </w:tbl>
    <w:p/>
    <w:p>
      <w:r>
        <w:t>To define how patients in pain are identified and managed with titration; how rehabilitation scope matches actual services and is planned collaboratively; and how nutritional screening, assessment and therapeutic-diet planning work for every admission.</w:t>
      </w:r>
    </w:p>
    <w:p>
      <w:pPr>
        <w:pStyle w:val="Heading1"/>
      </w:pPr>
      <w:r>
        <w:t>2. Scope</w:t>
      </w:r>
    </w:p>
    <w:p>
      <w:r>
        <w:rPr>
          <w:i/>
        </w:rPr>
        <w:t xml:space="preserve">Why: </w:t>
      </w:r>
      <w:r>
        <w:t>so every setting where a patient may be in pain, need rehabilitation, or is admitted and therefore screened for nutrition follows the same standard.</w:t>
      </w:r>
    </w:p>
    <w:p>
      <w:r>
        <w:t>Applies to every clinical setting of «Hospital Name» in which a patient may be in pain, may need rehabilitation, or is admitted and therefore screened for nutritional risk -- in-patient wards, day-care, the emergency area, relevant out-patient encounters, intensive or high-dependency areas, and the dietetics function.</w:t>
      </w:r>
    </w:p>
    <w:p>
      <w:pPr>
        <w:pStyle w:val="Heading1"/>
      </w:pPr>
      <w:r>
        <w:t>3. Responsibility</w:t>
      </w:r>
    </w:p>
    <w:p>
      <w:r>
        <w:rPr>
          <w:i/>
        </w:rPr>
        <w:t xml:space="preserve">Why: </w:t>
      </w:r>
      <w:r>
        <w:t>unmanaged pain, a service held out that nobody can deliver, or a swallowing risk nobody screened for, are each a gap that reaches the patient directly.</w:t>
      </w:r>
    </w:p>
    <w:p>
      <w:r>
        <w:rPr>
          <w:b/>
        </w:rPr>
        <w:t xml:space="preserve">Named Pain-Assessment Method Lead: </w:t>
      </w:r>
      <w:r>
        <w:t>Keeps the pain-assessment method current and confirms it is used rather than waited on.</w:t>
      </w:r>
    </w:p>
    <w:p>
      <w:r>
        <w:rPr>
          <w:b/>
        </w:rPr>
        <w:t xml:space="preserve">Treating Clinicians: </w:t>
      </w:r>
      <w:r>
        <w:t>Assess pain, prescribe alleviation, indicate rehabilitation where the service exists, and indicate a therapeutic diet.</w:t>
      </w:r>
    </w:p>
    <w:p>
      <w:r>
        <w:rPr>
          <w:b/>
        </w:rPr>
        <w:t xml:space="preserve">Nurses: </w:t>
      </w:r>
      <w:r>
        <w:t>Apply the pain-assessment method, reassess and titrate within a prescribed range, screen every admission for nutritional risk, and confirm the planned diet was served.</w:t>
      </w:r>
    </w:p>
    <w:p>
      <w:r>
        <w:rPr>
          <w:b/>
        </w:rPr>
        <w:t xml:space="preserve">Rehabilitation Professionals (where the service exists): </w:t>
      </w:r>
      <w:r>
        <w:t>Participate in collaborative plans and deliver only the therapy the service directory actually resources.</w:t>
      </w:r>
    </w:p>
    <w:p>
      <w:r>
        <w:rPr>
          <w:b/>
        </w:rPr>
        <w:t xml:space="preserve">Dietetics: </w:t>
      </w:r>
      <w:r>
        <w:t>Assesses patients screened at risk and plans the therapeutic diet with the treating clinician.</w:t>
      </w:r>
    </w:p>
    <w:p>
      <w:r>
        <w:rPr>
          <w:b/>
        </w:rPr>
        <w:t xml:space="preserve">Quality/Accreditation Coordinator: </w:t>
      </w:r>
      <w:r>
        <w:t>Audits pain assessment and titration, rehabilitation-scope alignment with the directory, collaborative plans, nutritional screening and assessment, and therapeutic-diet planning on the defined interval.</w:t>
      </w:r>
    </w:p>
    <w:p>
      <w:pPr>
        <w:pStyle w:val="Heading1"/>
      </w:pPr>
      <w:r>
        <w:t>4. What to do</w:t>
      </w:r>
    </w:p>
    <w:p>
      <w:pPr>
        <w:pStyle w:val="Heading2"/>
      </w:pPr>
      <w:r>
        <w:t>Patients in pain are effectively managed</w:t>
      </w:r>
    </w:p>
    <w:p>
      <w:r>
        <w:rPr>
          <w:i/>
        </w:rPr>
        <w:t xml:space="preserve">Why: </w:t>
      </w:r>
      <w:r>
        <w:t>A recorded zero that was never asked about is a false record -- and it is exactly how unmanaged pain comes to look like managed pain.</w:t>
      </w:r>
    </w:p>
    <w:p>
      <w:r>
        <w:t>The hospital's defined pain-assessment method, including the scale or description method and which settings it applies in, is used to ask every in-patient, and every other patient in a setting this hospital has included, about pain -- not inferred from whether they complain loudly.</w:t>
      </w:r>
    </w:p>
    <w:p>
      <w:r>
        <w:t>The assessment is recorded against the unique identification number, with the time; a blank field is treated as an incomplete assessment, never as evidence of no pain.</w:t>
      </w:r>
    </w:p>
    <w:p>
      <w:r>
        <w:t>A written plan -- pharmacological, non-pharmacological, or both -- is produced for every patient found in pain, using the hospital's defined non-pharmacological pain measures where applicable; pharmacological measures are prescribed under the medication policies.</w:t>
      </w:r>
    </w:p>
    <w:p>
      <w:pPr>
        <w:pStyle w:val="Heading2"/>
      </w:pPr>
      <w:r>
        <w:t>Titration according to need and response</w:t>
      </w:r>
    </w:p>
    <w:p>
      <w:r>
        <w:rPr>
          <w:i/>
        </w:rPr>
        <w:t xml:space="preserve">Why: </w:t>
      </w:r>
      <w:r>
        <w:t>A measure given once and never reassessed is a standing dose, not titration.</w:t>
      </w:r>
    </w:p>
    <w:p>
      <w:r>
        <w:t>Pain is reassessed after a measure is given, using the same method, at the hospital's defined interval.</w:t>
      </w:r>
    </w:p>
    <w:p>
      <w:r>
        <w:t>The hospital's defined rule for who may titrate within a prescribed range, and when the treating clinician is called, governs who adjusts the measure; administration of the medicine itself remains the medication policies.</w:t>
      </w:r>
    </w:p>
    <w:p>
      <w:r>
        <w:t>A patient whose pain is not responding is never left on the same plan by default -- the reason for a change, or for holding the plan, is recorded.</w:t>
      </w:r>
    </w:p>
    <w:p>
      <w:pPr>
        <w:pStyle w:val="Heading2"/>
      </w:pPr>
      <w:r>
        <w:t>Rehabilitation scope commensurate with the services of this hospital</w:t>
      </w:r>
    </w:p>
    <w:p>
      <w:r>
        <w:rPr>
          <w:i/>
        </w:rPr>
        <w:t xml:space="preserve">Why: </w:t>
      </w:r>
      <w:r>
        <w:t>A hospital that lists physiotherapy on the board with a visiting therapist on Tuesdays only, and says nothing else, is holding out a service it cannot deliver on Wednesday.</w:t>
      </w:r>
    </w:p>
    <w:p>
      <w:r>
        <w:t>Whether rehabilitation is a defined healthcare service of this hospital, and which disciplines it includes, matches the current service directory and department scopes -- never a copied rehabilitation SOP for a department this hospital does not have.</w:t>
      </w:r>
    </w:p>
    <w:p>
      <w:r>
        <w:t>Where rehabilitation is a defined service, this hospital does not exclude a person with disability from it on the ground of disability, provides barrier-free access to the areas where it is delivered, and gives priority in attendance and treatment where the Rights of Persons with Disabilities Act, 2016 requires it.</w:t>
      </w:r>
    </w:p>
    <w:p>
      <w:r>
        <w:t>Where rehabilitation is not a defined service, that fact is recorded and the hospital does not display, advertise or verbally hold out a rehabilitation service it does not provide; a patient who needs rehabilitation is referred using the referral route the relevant department scope already names.</w:t>
      </w:r>
    </w:p>
    <w:p>
      <w:pPr>
        <w:pStyle w:val="Heading2"/>
      </w:pPr>
      <w:r>
        <w:t>Collaborative rehabilitation planning</w:t>
      </w:r>
    </w:p>
    <w:p>
      <w:r>
        <w:rPr>
          <w:i/>
        </w:rPr>
        <w:t xml:space="preserve">Why: </w:t>
      </w:r>
      <w:r>
        <w:t>A doctor's order that just says 'physio', with no goal and no therapist named, is not collaborative planning -- it is a referral dressed up as a plan.</w:t>
      </w:r>
    </w:p>
    <w:p>
      <w:r>
        <w:t>This step operates only where rehabilitation is a defined service; where it is not, this step is recorded as not operating, and no plan is invented to imply a service that does not exist.</w:t>
      </w:r>
    </w:p>
    <w:p>
      <w:r>
        <w:t>Where it operates, the hospital's defined process captures a plan made with the treating clinician, the rehabilitation professional, nursing, and the patient or family as far as they can take part, stating the goal, the therapy, the frequency this hospital can actually deliver, and the review.</w:t>
      </w:r>
    </w:p>
    <w:p>
      <w:r>
        <w:t>Internal referral into rehabilitation uses the continuity policy's referral method; this step owns only the plan that follows.</w:t>
      </w:r>
    </w:p>
    <w:p>
      <w:pPr>
        <w:pStyle w:val="Heading2"/>
      </w:pPr>
      <w:r>
        <w:t>Nutritional-risk screening and at-risk assessment</w:t>
      </w:r>
    </w:p>
    <w:p>
      <w:r>
        <w:rPr>
          <w:i/>
        </w:rPr>
        <w:t xml:space="preserve">Why: </w:t>
      </w:r>
      <w:r>
        <w:t>A safe, licensed kitchen can still serve a full diet to a person who cannot swallow it -- this step is what finds that person before the kitchen is asked to.</w:t>
      </w:r>
    </w:p>
    <w:p>
      <w:r>
        <w:t>Every admitted patient is screened using the hospital's defined nutritional-risk screening method, who performs it, and by when after admission -- never a meal-order slip treated as a screen.</w:t>
      </w:r>
    </w:p>
    <w:p>
      <w:r>
        <w:t>A patient flagged by the screen is assessed by the hospital's defined assessor, recording intake, nutritional findings, swallowing concern if present, and the problem the therapeutic diet must address.</w:t>
      </w:r>
    </w:p>
    <w:p>
      <w:r>
        <w:t>This admission screen is distinct from antenatal maternal nutrition and paediatric growth/nutrition assessment -- both still run on their own patients, but neither substitutes for this screen.</w:t>
      </w:r>
    </w:p>
    <w:p>
      <w:pPr>
        <w:pStyle w:val="Heading2"/>
      </w:pPr>
      <w:r>
        <w:t>Therapeutic diet planned and provided collaboratively</w:t>
      </w:r>
    </w:p>
    <w:p>
      <w:r>
        <w:rPr>
          <w:i/>
        </w:rPr>
        <w:t xml:space="preserve">Why: </w:t>
      </w:r>
      <w:r>
        <w:t>A 'soft diet' shouted down a corridor, or changed at the bedside by a relative, is not a collaborative plan -- it is the plan failing at the last step.</w:t>
      </w:r>
    </w:p>
    <w:p>
      <w:r>
        <w:t>The treating clinician, dietetics and nursing agree the diet for a patient who needs one -- including every patient assessed at risk -- using the hospital's defined collaborative-planning and kitchen-communication process.</w:t>
      </w:r>
    </w:p>
    <w:p>
      <w:r>
        <w:t>The kitchen prepares under the support-services infection-control policy; this step does not restate food-handler health or holding temperatures.</w:t>
      </w:r>
    </w:p>
    <w:p>
      <w:r>
        <w:t>Provision is confirmed using the hospital's defined confirmation method, and any refusal by the patient is recorded and the plan reviewed rather than silently replaced.</w:t>
      </w:r>
    </w:p>
    <w:p>
      <w:pPr>
        <w:pStyle w:val="Heading1"/>
      </w:pPr>
      <w:r>
        <w:t>5. Records</w:t>
      </w:r>
    </w:p>
    <w:p>
      <w:r>
        <w:t>This SOP produces and maintains Records 1-6 (see the COP.13 Records folder).</w:t>
      </w:r>
    </w:p>
    <w:p>
      <w:pPr>
        <w:pStyle w:val="Heading1"/>
      </w:pPr>
      <w:r>
        <w:t>6. Related SOPs</w:t>
      </w:r>
    </w:p>
    <w:p>
      <w:pPr>
        <w:pStyle w:val="ListParagraph"/>
      </w:pPr>
      <w:r>
        <w:t>Policy on Pain Management, Rehabilitation Services and Nutritional Therapy (COP.13)</w:t>
      </w:r>
    </w:p>
    <w:p>
      <w:pPr>
        <w:pStyle w:val="ListParagraph"/>
      </w:pPr>
      <w:r>
        <w:t>Hospital's Higher-Risk-Patient SOP (COP.12)</w:t>
      </w:r>
    </w:p>
    <w:p>
      <w:pPr>
        <w:pStyle w:val="ListParagraph"/>
      </w:pPr>
      <w:r>
        <w:t>Hospital's Support-Services Infection-Control Policy (HIC.3)</w:t>
      </w:r>
    </w:p>
    <w:p>
      <w:pPr>
        <w:pStyle w:val="Heading1"/>
      </w:pPr>
      <w:r>
        <w:t>7. Review</w:t>
      </w:r>
    </w:p>
    <w:p>
      <w:r>
        <w:t>This SOP is reviewed annually, or sooner if the service directory adds or removes rehabilitation, if unmanaged pain, an unscreened admission, or a therapeutic diet that did not reach the patient exposes a gap, or if the definition-and-display, kitchen, obstetric, paediatric, medication or assessment processes this SOP hands work to are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Patients in pain are effectively managed — COP.13.a</w:t>
      </w:r>
    </w:p>
    <w:p>
      <w:pPr>
        <w:pStyle w:val="Heading2"/>
      </w:pPr>
      <w:r>
        <w:t>Titration according to need and response — COP.13.b</w:t>
      </w:r>
    </w:p>
    <w:p>
      <w:pPr>
        <w:pStyle w:val="Heading2"/>
      </w:pPr>
      <w:r>
        <w:t>Rehabilitation scope commensurate with the services of this hospital — COP.13.c</w:t>
      </w:r>
    </w:p>
    <w:p>
      <w:r>
        <w:rPr>
          <w:i/>
        </w:rPr>
        <w:t>Verified source(s):</w:t>
      </w:r>
    </w:p>
    <w:p>
      <w:pPr>
        <w:pStyle w:val="ListParagraph"/>
      </w:pPr>
      <w:r>
        <w:t xml:space="preserve">• </w:t>
      </w:r>
      <w:r>
        <w:t xml:space="preserve">Government of India. (2016). </w:t>
      </w:r>
      <w:hyperlink r:id="rId9">
        <w:r>
          <w:rPr>
            <w:color w:val="0563C1"/>
            <w:u w:val="single"/>
          </w:rPr>
          <w:t>The Rights of Persons with Disabilities Act, 2016</w:t>
        </w:r>
      </w:hyperlink>
      <w:r>
        <w:t xml:space="preserve"> (Act No. 49 of 2016), ss. 3 and 25: persons with disability may not be discriminated against and are entitled to barrier-free access in all parts of hospitals and healthcare institutions, and to priority in attendance and treatment.</w:t>
      </w:r>
    </w:p>
    <w:p>
      <w:pPr>
        <w:pStyle w:val="Heading2"/>
      </w:pPr>
      <w:r>
        <w:t>Collaborative rehabilitation planning — COP.13.d</w:t>
      </w:r>
    </w:p>
    <w:p>
      <w:pPr>
        <w:pStyle w:val="Heading2"/>
      </w:pPr>
      <w:r>
        <w:t>Nutritional-risk screening and at-risk assessment — COP.13.e</w:t>
      </w:r>
    </w:p>
    <w:p>
      <w:pPr>
        <w:pStyle w:val="Heading2"/>
      </w:pPr>
      <w:r>
        <w:t>Therapeutic diet planned and provided collaboratively — COP.13.f</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Care of Patients chapter, standard COP.13.</w:t>
      </w:r>
    </w:p>
    <w:p>
      <w:pPr>
        <w:pStyle w:val="ListParagraph"/>
      </w:pPr>
      <w:r>
        <w:t xml:space="preserve">• </w:t>
      </w:r>
      <w:r>
        <w:t xml:space="preserve">Government of India. (2016). </w:t>
      </w:r>
      <w:hyperlink r:id="rId9">
        <w:r>
          <w:rPr>
            <w:color w:val="0563C1"/>
            <w:u w:val="single"/>
          </w:rPr>
          <w:t>The Rights of Persons with Disabilities Act, 2016</w:t>
        </w:r>
      </w:hyperlink>
      <w:r>
        <w:t xml:space="preserve"> (Act No. 49 of 2016), ss. 3 and 25: persons with disability may not be discriminated against and are entitled to barrier-free access in all parts of hospitals and healthcare institutions, and to priority in attendance and treatment.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diacode.nic.in/bitstream/123456789/19406/1/rpwd_act_2016.pdf" TargetMode="External"/><Relationship Id="rId10"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