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Transfusion of Blood and Blood Components</w:t>
      </w:r>
    </w:p>
    <w:p>
      <w:r>
        <w:t>«Hospital Name» — SOP-COP.5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SOP-COP.5</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transfusion services are kept aligned with the hospital's defined scope and governed by law; how a unit is safely matched and administered to the correct patient at the bedside; how blood and blood components are used rationally rather than by habit; how consent for transfusion and for donation is obtained; how emergency availability of blood is defined, measured and acted on; and how every reaction is captured and analysed.</w:t>
            </w:r>
          </w:p>
        </w:tc>
      </w:tr>
    </w:tbl>
    <w:p/>
    <w:tbl>
      <w:tblPr>
        <w:tblStyle w:val="TableGrid"/>
        <w:tblW w:type="auto" w:w="0"/>
        <w:tblLook w:firstColumn="1" w:firstRow="1" w:lastColumn="0" w:lastRow="0" w:noHBand="0" w:noVBand="1" w:val="04A0"/>
      </w:tblPr>
      <w:tblGrid>
        <w:gridCol w:w="8640"/>
      </w:tblGrid>
      <w:tr>
        <w:tc>
          <w:tcPr>
            <w:tcW w:type="dxa" w:w="8640"/>
          </w:tcPr>
          <w:p>
            <w:r>
              <w:t>A nurse at the bedside checks the two identifiers against the issue slip and finds a mismatch. This SOP is what makes that an automatic stop -- the unit is not hung, and the mismatch is recorded as an incident -- not a judgement call under time pressure.</w:t>
            </w:r>
          </w:p>
        </w:tc>
      </w:tr>
    </w:tbl>
    <w:p/>
    <w:tbl>
      <w:tblPr>
        <w:tblStyle w:val="TableGrid"/>
        <w:tblW w:type="auto" w:w="0"/>
        <w:tblLook w:firstColumn="1" w:firstRow="1" w:lastColumn="0" w:lastRow="0" w:noHBand="0" w:noVBand="1" w:val="04A0"/>
      </w:tblPr>
      <w:tblGrid>
        <w:gridCol w:w="8640"/>
      </w:tblGrid>
      <w:tr>
        <w:tc>
          <w:tcPr>
            <w:tcW w:type="dxa" w:w="8640"/>
          </w:tcPr>
          <w:p>
            <w:r>
              <w:t>We do this because a correctly grouped unit given to the wrong patient is, in every way that matters, an incompatible transfusion -- the blood bank cannot see the vein; only the person at the bedside can, and that is why this check is non-negotiable.</w:t>
            </w:r>
          </w:p>
        </w:tc>
      </w:tr>
    </w:tbl>
    <w:p/>
    <w:p>
      <w:r>
        <w:t>To define how transfusion services stay aligned with scope and law, how a unit is safely matched at the bedside, how blood is used rationally, how consent is obtained, how emergency availability is measured, and how reactions are captured and analysed.</w:t>
      </w:r>
    </w:p>
    <w:p>
      <w:pPr>
        <w:pStyle w:val="Heading1"/>
      </w:pPr>
      <w:r>
        <w:t>2. Scope</w:t>
      </w:r>
    </w:p>
    <w:p>
      <w:r>
        <w:rPr>
          <w:i/>
        </w:rPr>
        <w:t xml:space="preserve">Why: </w:t>
      </w:r>
      <w:r>
        <w:t>so every location where blood is requested, issued, stored, administered or followed up follows the same safety standard.</w:t>
      </w:r>
    </w:p>
    <w:p>
      <w:r>
        <w:t>Applies to every location in the hospital where blood or a blood component is requested, issued, transported, stored pending transfusion, administered, or followed up after administration.</w:t>
      </w:r>
    </w:p>
    <w:p>
      <w:pPr>
        <w:pStyle w:val="Heading1"/>
      </w:pPr>
      <w:r>
        <w:t>3. Responsibility</w:t>
      </w:r>
    </w:p>
    <w:p>
      <w:r>
        <w:rPr>
          <w:i/>
        </w:rPr>
        <w:t xml:space="preserve">Why: </w:t>
      </w:r>
      <w:r>
        <w:t>an unlicensed source, a missed bedside check, or an unanalysed reaction is a direct risk to the patient, not a documentation shortfall.</w:t>
      </w:r>
    </w:p>
    <w:p>
      <w:r>
        <w:rPr>
          <w:b/>
        </w:rPr>
        <w:t xml:space="preserve">Person in Charge of Transfusion Services: </w:t>
      </w:r>
      <w:r>
        <w:t>Keeps the transfusion scope and blood bank licence evidence current, holds the safe-transfusion and rational-use guidance, holds the emergency-availability arrangement, and stops issue of any non-emergency unit with no recorded indication.</w:t>
      </w:r>
    </w:p>
    <w:p>
      <w:r>
        <w:rPr>
          <w:b/>
        </w:rPr>
        <w:t xml:space="preserve">Requesting Clinician: </w:t>
      </w:r>
      <w:r>
        <w:t>Records the clinical indication for every non-emergency request, considers non-transfusion alternatives, obtains transfusion consent, and remains responsible for the decision to transfuse.</w:t>
      </w:r>
    </w:p>
    <w:p>
      <w:r>
        <w:rPr>
          <w:b/>
        </w:rPr>
        <w:t xml:space="preserve">Staff Who Administer the Transfusion: </w:t>
      </w:r>
      <w:r>
        <w:t>Perform the bedside identity check before hanging any unit, monitor the patient, stop the transfusion immediately if a reaction is suspected, and complete the administration record and the post-transfusion form.</w:t>
      </w:r>
    </w:p>
    <w:p>
      <w:r>
        <w:rPr>
          <w:b/>
        </w:rPr>
        <w:t xml:space="preserve">Quality/Accreditation Coordinator: </w:t>
      </w:r>
      <w:r>
        <w:t>Audits transfusion records, bedside identity-check compliance, emergency-availability performance, and reaction analysis on the defined interval, and reports findings to the Head of the Institution.</w:t>
      </w:r>
    </w:p>
    <w:p>
      <w:r>
        <w:rPr>
          <w:b/>
        </w:rPr>
        <w:t xml:space="preserve">Head of the Institution: </w:t>
      </w:r>
      <w:r>
        <w:t>Is accountable for transfusion services matching the hospital's defined scope, for every unit coming from a licensed source, and for emergency availability that is both defined and actually measured.</w:t>
      </w:r>
    </w:p>
    <w:p>
      <w:pPr>
        <w:pStyle w:val="Heading1"/>
      </w:pPr>
      <w:r>
        <w:t>4. What to do</w:t>
      </w:r>
    </w:p>
    <w:p>
      <w:pPr>
        <w:pStyle w:val="Heading2"/>
      </w:pPr>
      <w:r>
        <w:t>Transfusion services commensurate with defined services, governed by law</w:t>
      </w:r>
    </w:p>
    <w:p>
      <w:r>
        <w:rPr>
          <w:i/>
        </w:rPr>
        <w:t xml:space="preserve">Why: </w:t>
      </w:r>
      <w:r>
        <w:t>A hospital that transfuses blood without a licensed source behind it is not running a transfusion service -- it is taking an uncontrolled risk with a human tissue product.</w:t>
      </w:r>
    </w:p>
    <w:p>
      <w:r>
        <w:t>The hospital's defined transfusion scope -- the components used, the clinical areas in which transfusion is performed, the hours a unit can be obtained, and whether supply is from a licensed in-house blood centre, a documented arrangement with a licensed blood bank, or both -- is kept current and aligned with the hospital's defined service directory.</w:t>
      </w:r>
    </w:p>
    <w:p>
      <w:r>
        <w:t>Every unit transfused is issued by a blood bank or blood centre licensed under the Drugs and Cosmetics Act, 1940 and the Drugs and Cosmetics Rules, 1945; current licence evidence for that source is kept on file and checked before renewal expiry.</w:t>
      </w:r>
    </w:p>
    <w:p>
      <w:r>
        <w:t>An unlicensed source is never used, even in an emergency; the emergency-availability arrangement only ever points to a licensed source.</w:t>
      </w:r>
    </w:p>
    <w:p>
      <w:pPr>
        <w:pStyle w:val="Heading2"/>
      </w:pPr>
      <w:r>
        <w:t>Safe transfusion — the bedside identity check</w:t>
      </w:r>
    </w:p>
    <w:p>
      <w:r>
        <w:rPr>
          <w:i/>
        </w:rPr>
        <w:t xml:space="preserve">Why: </w:t>
      </w:r>
      <w:r>
        <w:t>A correctly grouped unit given to the wrong patient is, in every way that matters, an incompatible transfusion -- the blood bank cannot see the vein; only the person at the bedside can, and that is why this check is non-negotiable.</w:t>
      </w:r>
    </w:p>
    <w:p>
      <w:r>
        <w:t>A transfusion request carries the patient's unique identification number, name, component requested, recorded indication, date/time, and requesting clinician; a unit is not issued against a nameless verbal request except through the documented emergency pathway.</w:t>
      </w:r>
    </w:p>
    <w:p>
      <w:r>
        <w:t>The pre-transfusion sample is collected and identified with the unique identification number on the sample matching the request; a unit that is leaking, clotted, discoloured, expired, or stored outside the defined conditions is never transfused -- it is returned to the issuing source with the reason recorded.</w:t>
      </w:r>
    </w:p>
    <w:p>
      <w:r>
        <w:t>Before hanging any unit, the person administering it checks, in the presence of the patient, the hospital's two identifiers against the issue slip and the bag label -- never against a bed number alone and never from the nursing station; a mismatch means the unit is not hung, and the mismatch is recorded as an incident, not filed away as paperwork.</w:t>
      </w:r>
    </w:p>
    <w:p>
      <w:pPr>
        <w:pStyle w:val="Heading2"/>
      </w:pPr>
      <w:r>
        <w:t>Rational use of blood and blood components</w:t>
      </w:r>
    </w:p>
    <w:p>
      <w:r>
        <w:rPr>
          <w:i/>
        </w:rPr>
        <w:t xml:space="preserve">Why: </w:t>
      </w:r>
      <w:r>
        <w:t>A safely hung unit the patient never needed is still a unit of real risk -- infection, overload, alloimmunisation -- given for no reason, and it is a unit another patient may have needed instead.</w:t>
      </w:r>
    </w:p>
    <w:p>
      <w:r>
        <w:t>Every non-emergency request carries a recorded clinical indication, written before the unit is issued, drawn from the hospital's own written clinical-indication list for each component -- no haemoglobin, platelet or INR number is treated here as a national mandate; this hospital's own reviewed list is what is used.</w:t>
      </w:r>
    </w:p>
    <w:p>
      <w:r>
        <w:t>Before a non-emergency request is sent, the requesting clinician records whether a non-transfusion alternative was considered, and a further unit is not requested without reviewing whether the first unit achieved its purpose.</w:t>
      </w:r>
    </w:p>
    <w:p>
      <w:r>
        <w:t>A non-emergency unit with no recorded indication is refused by the person releasing it from the clinical side, and the refusal is recorded; a standing order to simply 'keep the haemoglobin up' is not accepted as an indication.</w:t>
      </w:r>
    </w:p>
    <w:p>
      <w:pPr>
        <w:pStyle w:val="Heading2"/>
      </w:pPr>
      <w:r>
        <w:t>Informed consent for transfusion and for donation</w:t>
      </w:r>
    </w:p>
    <w:p>
      <w:r>
        <w:rPr>
          <w:i/>
        </w:rPr>
        <w:t xml:space="preserve">Why: </w:t>
      </w:r>
      <w:r>
        <w:t>A patient who is transfused without having agreed to it, or a donor who is bled without having agreed to it, has had a decision about their own body made for them -- consent is what prevents that.</w:t>
      </w:r>
    </w:p>
    <w:p>
      <w:r>
        <w:t>Consent for transfusion is obtained before the unit is hung; where a documented emergency makes prior consent impossible, the record states why, and consent is completed as soon as the emergency allows.</w:t>
      </w:r>
    </w:p>
    <w:p>
      <w:r>
        <w:t>If donation is performed on this site, consent for donation is obtained before blood is collected from the donor; if donation is not performed on this site, that is this hospital's documented position and the licensed blood centre's own act, not this hospital's.</w:t>
      </w:r>
    </w:p>
    <w:p>
      <w:r>
        <w:t>Transfusion consent and donation consent are never treated as the same form or the same act.</w:t>
      </w:r>
    </w:p>
    <w:p>
      <w:pPr>
        <w:pStyle w:val="Heading2"/>
      </w:pPr>
      <w:r>
        <w:t>Emergency availability within a defined time frame</w:t>
      </w:r>
    </w:p>
    <w:p>
      <w:r>
        <w:rPr>
          <w:i/>
        </w:rPr>
        <w:t xml:space="preserve">Why: </w:t>
      </w:r>
      <w:r>
        <w:t>An emergency unit that arrives after the bleeding has already cost the patient their chance has not been 'made available' in any sense that matters -- a time frame that is defined but never measured is just a sentence in a policy.</w:t>
      </w:r>
    </w:p>
    <w:p>
      <w:r>
        <w:t>The hospital's defined time frame within which blood or a blood component is available in an emergency, by component, and the clock it is measured from, is written down -- not stated as 'as soon as possible' with no number, and not borrowed from another hospital.</w:t>
      </w:r>
    </w:p>
    <w:p>
      <w:r>
        <w:t>The hospital's defined emergency-availability arrangement is followed; the bedside identity check still happens before the unit is hung, even in this pathway -- an emergency never cancels that check.</w:t>
      </w:r>
    </w:p>
    <w:p>
      <w:r>
        <w:t>Actual emergency-availability time is measured against the defined time for every emergency unit issued, and reviewed at the defined interval; if the defined time will be missed, the treating clinician is told before it elapses, with the reason and the next action.</w:t>
      </w:r>
    </w:p>
    <w:p>
      <w:pPr>
        <w:pStyle w:val="Heading2"/>
      </w:pPr>
      <w:r>
        <w:t>Post-transfusion form, reactions and analysis</w:t>
      </w:r>
    </w:p>
    <w:p>
      <w:r>
        <w:rPr>
          <w:i/>
        </w:rPr>
        <w:t xml:space="preserve">Why: </w:t>
      </w:r>
      <w:r>
        <w:t>A reaction that is treated at the bedside and never written up or reviewed teaches the hospital nothing, and the next patient gets no benefit from what almost went wrong this time.</w:t>
      </w:r>
    </w:p>
    <w:p>
      <w:r>
        <w:t>The post-transfusion form is collected for every unit transfused; a unit whose form is not collected is treated as a unit whose outcome is unknown.</w:t>
      </w:r>
    </w:p>
    <w:p>
      <w:r>
        <w:t>A suspected reaction -- identified from monitoring, the patient's own report, or a later finding -- is immediately managed (transfusion stopped, set retained until the work-up is decided, treating clinician called) and is then captured on the form.</w:t>
      </w:r>
    </w:p>
    <w:p>
      <w:r>
        <w:t>Every identified reaction is analysed, with a recorded conclusion and, where needed, a corrective or preventive action with an owner and due date; a serious reaction is analysed when it occurs, not held for a later meeting.</w:t>
      </w:r>
    </w:p>
    <w:p>
      <w:pPr>
        <w:pStyle w:val="Heading1"/>
      </w:pPr>
      <w:r>
        <w:t>5. Records</w:t>
      </w:r>
    </w:p>
    <w:p>
      <w:r>
        <w:t>This SOP produces and maintains Records 1-6 (see the COP.5 Records folder).</w:t>
      </w:r>
    </w:p>
    <w:p>
      <w:pPr>
        <w:pStyle w:val="Heading1"/>
      </w:pPr>
      <w:r>
        <w:t>6. Related SOPs</w:t>
      </w:r>
    </w:p>
    <w:p>
      <w:pPr>
        <w:pStyle w:val="ListParagraph"/>
      </w:pPr>
      <w:r>
        <w:t>Policy on Transfusion of Blood and Blood Components (COP.5)</w:t>
      </w:r>
    </w:p>
    <w:p>
      <w:pPr>
        <w:pStyle w:val="ListParagraph"/>
      </w:pPr>
      <w:r>
        <w:t>SOP — Uniform Care Across Settings and Telemedicine (COP.1)</w:t>
      </w:r>
    </w:p>
    <w:p>
      <w:pPr>
        <w:pStyle w:val="Heading1"/>
      </w:pPr>
      <w:r>
        <w:t>7. Review</w:t>
      </w:r>
    </w:p>
    <w:p>
      <w:r>
        <w:t>This SOP is reviewed annually, or sooner if a wrong-unit event, a missed emergency unit, or an unanalysed reaction exposes a gap, or if the laboratory, biomedical-waste, infection-control, uniform-care or registration processes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Transfusion services commensurate with defined services, governed by law — COP.5.a</w:t>
      </w:r>
    </w:p>
    <w:p>
      <w:r>
        <w:rPr>
          <w:i/>
        </w:rPr>
        <w:t>Verified source(s):</w:t>
      </w:r>
    </w:p>
    <w:p>
      <w:pPr>
        <w:pStyle w:val="ListParagraph"/>
      </w:pPr>
      <w:r>
        <w:t xml:space="preserve">• </w:t>
      </w:r>
      <w:r>
        <w:t xml:space="preserve">Government of India, Ministry of Health and Family Welfare. (1999). </w:t>
      </w:r>
      <w:hyperlink r:id="rId9">
        <w:r>
          <w:rPr>
            <w:color w:val="0563C1"/>
            <w:u w:val="single"/>
          </w:rPr>
          <w:t>The Drugs and Cosmetics (2nd Amendment) Rules, 1999</w:t>
        </w:r>
      </w:hyperlink>
      <w:r>
        <w:t>%20dt_05.04.1999_Amendment%20to%20Rule%20122_Requirements%20of%20blood%20bank.pdf) (G.S.R. 245(E), dated 5 April 1999), amending the Drugs and Cosmetics Rules, 1945 under the Drugs and Cosmetics Act, 1940, which requires every blood bank to hold a licence (Form 28-C) before issuing blood or blood components.</w:t>
      </w:r>
    </w:p>
    <w:p>
      <w:pPr>
        <w:pStyle w:val="Heading2"/>
      </w:pPr>
      <w:r>
        <w:t>Safe transfusion — the bedside identity check — COP.5.b</w:t>
      </w:r>
    </w:p>
    <w:p>
      <w:pPr>
        <w:pStyle w:val="Heading2"/>
      </w:pPr>
      <w:r>
        <w:t>Rational use of blood and blood components — COP.5.c</w:t>
      </w:r>
    </w:p>
    <w:p>
      <w:pPr>
        <w:pStyle w:val="Heading2"/>
      </w:pPr>
      <w:r>
        <w:t>Informed consent for transfusion and for donation — COP.5.d</w:t>
      </w:r>
    </w:p>
    <w:p>
      <w:pPr>
        <w:pStyle w:val="Heading2"/>
      </w:pPr>
      <w:r>
        <w:t>Emergency availability within a defined time frame — COP.5.e</w:t>
      </w:r>
    </w:p>
    <w:p>
      <w:pPr>
        <w:pStyle w:val="Heading2"/>
      </w:pPr>
      <w:r>
        <w:t>Post-transfusion form, reactions and analysis — COP.5.f</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Care of Patients chapter, standard COP.5.</w:t>
      </w:r>
    </w:p>
    <w:p>
      <w:pPr>
        <w:pStyle w:val="ListParagraph"/>
      </w:pPr>
      <w:r>
        <w:t xml:space="preserve">• </w:t>
      </w:r>
      <w:r>
        <w:t xml:space="preserve">Government of India, Ministry of Health and Family Welfare. (1999). </w:t>
      </w:r>
      <w:hyperlink r:id="rId9">
        <w:r>
          <w:rPr>
            <w:color w:val="0563C1"/>
            <w:u w:val="single"/>
          </w:rPr>
          <w:t>The Drugs and Cosmetics (2nd Amendment) Rules, 1999</w:t>
        </w:r>
      </w:hyperlink>
      <w:r>
        <w:t>%20dt_05.04.1999_Amendment%20to%20Rule%20122_Requirements%20of%20blood%20bank.pdf) (G.S.R. 245(E), dated 5 April 1999), amending the Drugs and Cosmetics Rules, 1945 under the Drugs and Cosmetics Act, 1940, which requires every blood bank to hold a licence (Form 28-C) before issuing blood or blood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dsco.gov.in/opencms/resources/UploadCDSCOWeb/2022/drug_rules/DR_G.S.R.%20245(E"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