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PRE.2.h — Patient and family rights include a right to complain and information on how to voice a complaint.</w:t>
      </w:r>
    </w:p>
    <w:p>
      <w:r>
        <w:t>PRE.2 Record 08 — Complaint-right awareness pointer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staff actually named the right to complain when a complaint was invited -- not left the patient to find the route on their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During a dissatisfaction conversation, the ward nurse tells the family about the complaint box and helpline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does not know a complaint route exists will simply leave dissatisfied and never tell this hospital why.</w:t>
            </w:r>
          </w:p>
        </w:tc>
      </w:tr>
    </w:tbl>
    <w:p/>
    <w:p>
      <w:r>
        <w:t>How to fill this in — column by column</w:t>
      </w:r>
    </w:p>
    <w:p>
      <w:r>
        <w:t>Date: Date of the encounter.</w:t>
      </w:r>
    </w:p>
    <w:p>
      <w:r>
        <w:t>Patient (Identifier 1) / UID (Identifier 2): The patient.</w:t>
      </w:r>
    </w:p>
    <w:p>
      <w:r>
        <w:t>Situation: What prompted naming the right.</w:t>
      </w:r>
    </w:p>
    <w:p>
      <w:r>
        <w:t>Right Named (Y/N): Confirmed.</w:t>
      </w:r>
    </w:p>
    <w:p>
      <w:r>
        <w:t>Named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Situation</w:t>
            </w:r>
          </w:p>
        </w:tc>
        <w:tc>
          <w:tcPr>
            <w:tcW w:type="dxa" w:w="1728"/>
          </w:tcPr>
          <w:p>
            <w:r>
              <w:t>Right Named (Y/N)</w:t>
            </w:r>
          </w:p>
        </w:tc>
        <w:tc>
          <w:tcPr>
            <w:tcW w:type="dxa" w:w="1728"/>
          </w:tcPr>
          <w:p>
            <w:r>
              <w:t>Named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21-Jun-2026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Anita Shah / UID-00942</w:t>
            </w:r>
          </w:p>
        </w:tc>
        <w:tc>
          <w:tcPr>
            <w:tcW w:type="dxa" w:w="1728"/>
            <w:shd w:val="clear" w:color="auto" w:fill="FFF2CC"/>
          </w:tcPr>
          <w:p>
            <w:r>
              <w:t>Family expressed dissatisfaction with wait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Nurse T. Kulkarni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