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PRE.3.c — The organisation describes who can give consent when a patient is incapable of independent decision making and implements the same.</w:t>
      </w:r>
    </w:p>
    <w:p>
      <w:r>
        <w:t>PRE.3 Record 03 — Incapacity-consent signer verification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signer on a consent for an incapable patient actually matched the written description -- not a single next-of-kin stamp used for every case alike.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For an unconscious trauma patient, the accompanying spouse signs consent and the record notes the basis -- unconscious adult, not mental illness.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single next-of-kin signature used for a child, an unconscious adult, an emergency and a person with mental illness alike can go wrong in exactly the case it matters most.</w:t>
            </w:r>
          </w:p>
        </w:tc>
      </w:tr>
    </w:tbl>
    <w:p/>
    <w:p>
      <w:r>
        <w:t>How to fill this in — column by column</w:t>
      </w:r>
    </w:p>
    <w:p>
      <w:r>
        <w:t>Date: Date of consent.</w:t>
      </w:r>
    </w:p>
    <w:p>
      <w:r>
        <w:t>Patient (Identifier 1) / UID (Identifier 2): The patient.</w:t>
      </w:r>
    </w:p>
    <w:p>
      <w:r>
        <w:t>Incapacity Basis: Child, unconscious adult, documented emergency, or mental illness under law.</w:t>
      </w:r>
    </w:p>
    <w:p>
      <w:r>
        <w:t>Signer / Relationship: Who signed.</w:t>
      </w:r>
    </w:p>
    <w:p>
      <w:r>
        <w:t>Matches Description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PRE.3.</w:t>
      </w:r>
    </w:p>
    <w:p>
      <w:pPr>
        <w:pStyle w:val="ListParagraph"/>
      </w:pPr>
      <w:r>
        <w:t xml:space="preserve">• </w:t>
      </w:r>
      <w:r>
        <w:t xml:space="preserve">Government of India. (2017). </w:t>
      </w:r>
      <w:hyperlink r:id="rId10">
        <w:r>
          <w:rPr>
            <w:color w:val="0563C1"/>
            <w:u w:val="single"/>
          </w:rPr>
          <w:t>The Mental Healthcare Act, 2017</w:t>
        </w:r>
      </w:hyperlink>
      <w:r>
        <w:t xml:space="preserve"> (Act No. 10 of 2017) — governs who may consent on behalf of a person with mental illness as defined in the Act, including the nominated representative and advance directive provisions.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Incapacity Basis</w:t>
            </w:r>
          </w:p>
        </w:tc>
        <w:tc>
          <w:tcPr>
            <w:tcW w:type="dxa" w:w="1728"/>
          </w:tcPr>
          <w:p>
            <w:r>
              <w:t>Signer / Relationship</w:t>
            </w:r>
          </w:p>
        </w:tc>
        <w:tc>
          <w:tcPr>
            <w:tcW w:type="dxa" w:w="1728"/>
          </w:tcPr>
          <w:p>
            <w:r>
              <w:t>Matches Description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01-Jul-2026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Mohan Lal / UID-00996</w:t>
            </w:r>
          </w:p>
        </w:tc>
        <w:tc>
          <w:tcPr>
            <w:tcW w:type="dxa" w:w="1728"/>
            <w:shd w:val="clear" w:color="auto" w:fill="FFF2CC"/>
          </w:tcPr>
          <w:p>
            <w:r>
              <w:t>Unconscious adult</w:t>
            </w:r>
          </w:p>
        </w:tc>
        <w:tc>
          <w:tcPr>
            <w:tcW w:type="dxa" w:w="1728"/>
            <w:shd w:val="clear" w:color="auto" w:fill="FFF2CC"/>
          </w:tcPr>
          <w:p>
            <w:r>
              <w:t>Spouse — Sunita Lal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22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