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PRE.4.b — Patient and/or family are educated about the safe and effective use of medication and the potential side effects of the medication, when appropriate.</w:t>
      </w:r>
    </w:p>
    <w:p>
      <w:r>
        <w:t>PRE.4 Record 02 — Medication and side-effect education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medication education was actually given at start, dose change or discharge -- not assumed because the prescription was written.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patient started on a new antihypertensive is taught about the medicine, dosing and possible dizziness side effect before discharge.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who starts a new medicine without being told what to watch for has no way of recognising a side effect before it becomes an emergency.</w:t>
            </w:r>
          </w:p>
        </w:tc>
      </w:tr>
    </w:tbl>
    <w:p/>
    <w:p>
      <w:r>
        <w:t>How to fill this in — column by column</w:t>
      </w:r>
    </w:p>
    <w:p>
      <w:r>
        <w:t>Date: Date of teaching.</w:t>
      </w:r>
    </w:p>
    <w:p>
      <w:r>
        <w:t>Patient (Identifier 1) / UID (Identifier 2): The patient.</w:t>
      </w:r>
    </w:p>
    <w:p>
      <w:r>
        <w:t>Medicine: What was taught about.</w:t>
      </w:r>
    </w:p>
    <w:p>
      <w:r>
        <w:t>Occasion: Start, dose change, or discharge.</w:t>
      </w:r>
    </w:p>
    <w:p>
      <w:r>
        <w:t>Taught By: Staff member.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Medicine</w:t>
            </w:r>
          </w:p>
        </w:tc>
        <w:tc>
          <w:tcPr>
            <w:tcW w:type="dxa" w:w="1728"/>
          </w:tcPr>
          <w:p>
            <w:r>
              <w:t>Occasion</w:t>
            </w:r>
          </w:p>
        </w:tc>
        <w:tc>
          <w:tcPr>
            <w:tcW w:type="dxa" w:w="1728"/>
          </w:tcPr>
          <w:p>
            <w:r>
              <w:t>Taught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05-Jul-2026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Ganesh Pillai / UID-01020</w:t>
            </w:r>
          </w:p>
        </w:tc>
        <w:tc>
          <w:tcPr>
            <w:tcW w:type="dxa" w:w="1728"/>
            <w:shd w:val="clear" w:color="auto" w:fill="FFF2CC"/>
          </w:tcPr>
          <w:p>
            <w:r>
              <w:t>Amlodipine</w:t>
            </w:r>
          </w:p>
        </w:tc>
        <w:tc>
          <w:tcPr>
            <w:tcW w:type="dxa" w:w="1728"/>
            <w:shd w:val="clear" w:color="auto" w:fill="FFF2CC"/>
          </w:tcPr>
          <w:p>
            <w:r>
              <w:t>Discharge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Pharmacist R. Shah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