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PRE.5.a — The patient and/or family members are made aware of the pricing policy in different settings (out-patient, emergency, ICU and in-patient).</w:t>
      </w:r>
    </w:p>
    <w:p>
      <w:r>
        <w:t>PRE.5 Record 01 — Pricing-policy awareness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pricing policy was actually made known to the patient at registration or admission -- not left for the patient to discover on their 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admission, billing staff explain whether the stay will be itemised or package-billed.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finds out the pricing structure only after the bill arrives had no real chance to plan for it.</w:t>
            </w:r>
          </w:p>
        </w:tc>
      </w:tr>
    </w:tbl>
    <w:p/>
    <w:p>
      <w:r>
        <w:t>How to fill this in — column by column</w:t>
      </w:r>
    </w:p>
    <w:p>
      <w:r>
        <w:t>Date: Date of awareness.</w:t>
      </w:r>
    </w:p>
    <w:p>
      <w:r>
        <w:t>Patient (Identifier 1) / UID (Identifier 2): The patient.</w:t>
      </w:r>
    </w:p>
    <w:p>
      <w:r>
        <w:t>Setting: Out-patient, emergency, ICU, or in-patient.</w:t>
      </w:r>
    </w:p>
    <w:p>
      <w:r>
        <w:t>Policy Explained (Itemised/Package/Mix): As given.</w:t>
      </w:r>
    </w:p>
    <w:p>
      <w:r>
        <w:t>Informed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Setting</w:t>
            </w:r>
          </w:p>
        </w:tc>
        <w:tc>
          <w:tcPr>
            <w:tcW w:type="dxa" w:w="1728"/>
          </w:tcPr>
          <w:p>
            <w:r>
              <w:t>Policy Explained (Itemised/Package/Mix)</w:t>
            </w:r>
          </w:p>
        </w:tc>
        <w:tc>
          <w:tcPr>
            <w:tcW w:type="dxa" w:w="1728"/>
          </w:tcPr>
          <w:p>
            <w:r>
              <w:t>Informed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10-Jul-2026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Yogesh Trivedi / UID-01050</w:t>
            </w:r>
          </w:p>
        </w:tc>
        <w:tc>
          <w:tcPr>
            <w:tcW w:type="dxa" w:w="1728"/>
            <w:shd w:val="clear" w:color="auto" w:fill="FFF2CC"/>
          </w:tcPr>
          <w:p>
            <w:r>
              <w:t>In-patient admission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Package billing explained</w:t>
            </w:r>
          </w:p>
        </w:tc>
        <w:tc>
          <w:tcPr>
            <w:tcW w:type="dxa" w:w="1728"/>
            <w:shd w:val="clear" w:color="auto" w:fill="FFF2CC"/>
          </w:tcPr>
          <w:p>
            <w:r>
              <w:t>Billing Staff M. Shah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