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PRE.6.c — The organisation redresses patient complaints as per the defined mechanism. Patient and/or family members are made aware of the procedure for giving feedback and/or lodging complaints.</w:t>
      </w:r>
    </w:p>
    <w:p>
      <w:r>
        <w:t>PRE.6 Record 03 — Complaint redressal and awareness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complaint was actually investigated and given an outcome communicated back to the complainant -- not logged and left open indefinitely.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complaint about delayed response to a call bell is investigated, found accurate, and the family is told the corrective action taken.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who does not know a complaint route exists, or who can only reach the person they want to complain about, will simply stay silent and leave dissatisfied.</w:t>
            </w:r>
          </w:p>
        </w:tc>
      </w:tr>
    </w:tbl>
    <w:p/>
    <w:p>
      <w:r>
        <w:t>How to fill this in — column by column</w:t>
      </w:r>
    </w:p>
    <w:p>
      <w:r>
        <w:t>Date Received: Date lodged.</w:t>
      </w:r>
    </w:p>
    <w:p>
      <w:r>
        <w:t>Complaint (Short): What was alleged.</w:t>
      </w:r>
    </w:p>
    <w:p>
      <w:r>
        <w:t>Received By: Grievance and feedback officer, or Medical Superintendent if officer is the one accused.</w:t>
      </w:r>
    </w:p>
    <w:p>
      <w:r>
        <w:t>Investigation / Outcome: Finding and action.</w:t>
      </w:r>
    </w:p>
    <w:p>
      <w:r>
        <w:t>Communicated to Complainant (Y/N, Date):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PRE.6.</w:t>
      </w:r>
    </w:p>
    <w:p>
      <w:pPr>
        <w:pStyle w:val="ListParagraph"/>
      </w:pPr>
      <w:r>
        <w:t xml:space="preserve">• </w:t>
      </w:r>
      <w:r>
        <w:t xml:space="preserve">Reader, T. W., Gillespie, A., &amp; Roberts, J. (2014). Patient complaints in healthcare systems: a systematic review and coding taxonomy. </w:t>
      </w:r>
      <w:hyperlink r:id="rId10">
        <w:r>
          <w:rPr>
            <w:color w:val="0563C1"/>
            <w:u w:val="single"/>
          </w:rPr>
          <w:t>BMJ Quality &amp; Safety, 23(8), 678–689</w:t>
        </w:r>
      </w:hyperlink>
      <w:r>
        <w:t xml:space="preserve"> — the complaint taxonomy framework this hospital's complaint categories draw on; not a pasted coding protocol.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 Received</w:t>
            </w:r>
          </w:p>
        </w:tc>
        <w:tc>
          <w:tcPr>
            <w:tcW w:type="dxa" w:w="1728"/>
          </w:tcPr>
          <w:p>
            <w:r>
              <w:t>Complaint (Short)</w:t>
            </w:r>
          </w:p>
        </w:tc>
        <w:tc>
          <w:tcPr>
            <w:tcW w:type="dxa" w:w="1728"/>
          </w:tcPr>
          <w:p>
            <w:r>
              <w:t>Received By</w:t>
            </w:r>
          </w:p>
        </w:tc>
        <w:tc>
          <w:tcPr>
            <w:tcW w:type="dxa" w:w="1728"/>
          </w:tcPr>
          <w:p>
            <w:r>
              <w:t>Investigation / Outcome</w:t>
            </w:r>
          </w:p>
        </w:tc>
        <w:tc>
          <w:tcPr>
            <w:tcW w:type="dxa" w:w="1728"/>
          </w:tcPr>
          <w:p>
            <w:r>
              <w:t>Communicated to Complainant (Y/N, Date)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16-Jul-2026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Delayed response to call bell</w:t>
            </w:r>
          </w:p>
        </w:tc>
        <w:tc>
          <w:tcPr>
            <w:tcW w:type="dxa" w:w="1728"/>
            <w:shd w:val="clear" w:color="auto" w:fill="FFF2CC"/>
          </w:tcPr>
          <w:p>
            <w:r>
              <w:t>Grievance and Feedback Officer A. Kulkarni</w:t>
            </w:r>
          </w:p>
        </w:tc>
        <w:tc>
          <w:tcPr>
            <w:tcW w:type="dxa" w:w="1728"/>
            <w:shd w:val="clear" w:color="auto" w:fill="FFF2CC"/>
          </w:tcPr>
          <w:p>
            <w:r>
              <w:t>Confirmed — short-staffed shift; roster adjusted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20-Jul-2026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qualitysafety.bmj.com/content/23/8/6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