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AAC.2.a — The organization has a mechanism for registering and admitting patients.</w:t>
      </w:r>
    </w:p>
    <w:p>
      <w:r>
        <w:t>AAC.2 Record 01 — Registration and admission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 ID: The unique identifier assigned at registration.</w:t>
      </w:r>
    </w:p>
    <w:p>
      <w:pPr>
        <w:pStyle w:val="ListParagraph"/>
      </w:pPr>
      <w:r>
        <w:t>Patient Name: Full name, or temporary descriptive identifier if unidentified.</w:t>
      </w:r>
    </w:p>
    <w:p>
      <w:pPr>
        <w:pStyle w:val="ListParagraph"/>
      </w:pPr>
      <w:r>
        <w:t>Identifiers Verified (Y/N, Method): How identity was confirmed, or 'Unidentified — temp. ID issued'.</w:t>
      </w:r>
    </w:p>
    <w:p>
      <w:pPr>
        <w:pStyle w:val="ListParagraph"/>
      </w:pPr>
      <w:r>
        <w:t>Registration Date/Time: When registration occurred.</w:t>
      </w:r>
    </w:p>
    <w:p>
      <w:pPr>
        <w:pStyle w:val="ListParagraph"/>
      </w:pPr>
      <w:r>
        <w:t>Consent Obtained (Y/N): Whether general consent for treatment was obtained.</w:t>
      </w:r>
    </w:p>
    <w:p>
      <w:pPr>
        <w:pStyle w:val="ListParagraph"/>
      </w:pPr>
      <w:r>
        <w:t>Admission Type: OPD, day-care, in-patient, or emergency.</w:t>
      </w:r>
    </w:p>
    <w:p>
      <w:pPr>
        <w:pStyle w:val="ListParagraph"/>
      </w:pPr>
      <w:r>
        <w:t>Admitting Department / Clinician: Where and by whom the patient was admitted.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AAC.2.</w:t>
      </w:r>
    </w:p>
    <w:p>
      <w:pPr>
        <w:pStyle w:val="ListParagraph"/>
        <w:spacing w:after="240" w:before="80"/>
        <w:contextualSpacing w:val="0"/>
      </w:pPr>
      <w:r>
        <w:t xml:space="preserve">• The Joint Commission. (2025). </w:t>
      </w:r>
      <w:hyperlink r:id="rId10">
        <w:r>
          <w:rPr>
            <w:color w:val="0563C1"/>
            <w:u w:val="single"/>
          </w:rPr>
          <w:t>National Patient Safety Goals, Goal 1 (NPSG.01.01.01 — use at least two patient identifiers)</w:t>
        </w:r>
      </w:hyperlink>
      <w:r>
        <w:t>. Referenced as an external benchmark for patient-identification practice; SHCO accreditation does not itself require Joint Commission accreditation.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running log of every patient registered and, where applicable, admitted — the organisation's basic proof of a consistent intake mechanism.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Registration staff log every patient at first contact. The worked example shows an in-patient admission with identity verified and consent obtained.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registration process with no log cannot be shown to be consistent or complete — this record is the evidence the mechanism is actually followed, patient by patient.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cantSplit/>
        </w:trPr>
        <w:tc>
          <w:tcPr>
            <w:tcW w:type="dxa" w:w="1234"/>
          </w:tcPr>
          <w:p>
            <w:r>
              <w:t>Patient ID</w:t>
            </w:r>
          </w:p>
        </w:tc>
        <w:tc>
          <w:tcPr>
            <w:tcW w:type="dxa" w:w="1234"/>
          </w:tcPr>
          <w:p>
            <w:r>
              <w:t>Patient Name</w:t>
            </w:r>
          </w:p>
        </w:tc>
        <w:tc>
          <w:tcPr>
            <w:tcW w:type="dxa" w:w="1234"/>
          </w:tcPr>
          <w:p>
            <w:r>
              <w:t>Identifiers Verified (Y/N, Method)</w:t>
            </w:r>
          </w:p>
        </w:tc>
        <w:tc>
          <w:tcPr>
            <w:tcW w:type="dxa" w:w="1234"/>
          </w:tcPr>
          <w:p>
            <w:r>
              <w:t>Registration Date/Time</w:t>
            </w:r>
          </w:p>
        </w:tc>
        <w:tc>
          <w:tcPr>
            <w:tcW w:type="dxa" w:w="1234"/>
          </w:tcPr>
          <w:p>
            <w:r>
              <w:t>Consent Obtained (Y/N)</w:t>
            </w:r>
          </w:p>
        </w:tc>
        <w:tc>
          <w:tcPr>
            <w:tcW w:type="dxa" w:w="1234"/>
          </w:tcPr>
          <w:p>
            <w:r>
              <w:t>Admission Type</w:t>
            </w:r>
          </w:p>
        </w:tc>
        <w:tc>
          <w:tcPr>
            <w:tcW w:type="dxa" w:w="1234"/>
          </w:tcPr>
          <w:p>
            <w:r>
              <w:t>Admitting Department / Clinician</w:t>
            </w:r>
          </w:p>
        </w:tc>
      </w:tr>
      <w:tr>
        <w:trPr>
          <w:cantSplit/>
        </w:trPr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234"/>
            <w:shd w:val="clear" w:color="auto" w:fill="FFF2CC"/>
          </w:tcPr>
          <w:p>
            <w:r>
              <w:t>SHC-2026-00142</w:t>
            </w:r>
          </w:p>
        </w:tc>
        <w:tc>
          <w:tcPr>
            <w:tcW w:type="dxa" w:w="1234"/>
            <w:shd w:val="clear" w:color="auto" w:fill="FFF2CC"/>
          </w:tcPr>
          <w:p>
            <w:r>
              <w:t>Mrs. Lata Patil</w:t>
            </w:r>
          </w:p>
        </w:tc>
        <w:tc>
          <w:tcPr>
            <w:tcW w:type="dxa" w:w="1234"/>
            <w:shd w:val="clear" w:color="auto" w:fill="FFF2CC"/>
          </w:tcPr>
          <w:p>
            <w:r>
              <w:t>Y — govt photo ID</w:t>
            </w:r>
          </w:p>
        </w:tc>
        <w:tc>
          <w:tcPr>
            <w:tcW w:type="dxa" w:w="1234"/>
            <w:shd w:val="clear" w:color="auto" w:fill="FFF2CC"/>
          </w:tcPr>
          <w:p>
            <w:r>
              <w:t>14-Feb-2026 / 10:05</w:t>
            </w:r>
          </w:p>
        </w:tc>
        <w:tc>
          <w:tcPr>
            <w:tcW w:type="dxa" w:w="1234"/>
            <w:shd w:val="clear" w:color="auto" w:fill="FFF2CC"/>
          </w:tcPr>
          <w:p>
            <w:r>
              <w:t>Y</w:t>
            </w:r>
          </w:p>
        </w:tc>
        <w:tc>
          <w:tcPr>
            <w:tcW w:type="dxa" w:w="1234"/>
            <w:shd w:val="clear" w:color="auto" w:fill="FFF2CC"/>
          </w:tcPr>
          <w:p>
            <w:r>
              <w:t>In-patient</w:t>
            </w:r>
          </w:p>
        </w:tc>
        <w:tc>
          <w:tcPr>
            <w:tcW w:type="dxa" w:w="1234"/>
            <w:shd w:val="clear" w:color="auto" w:fill="FFF2CC"/>
          </w:tcPr>
          <w:p>
            <w:r>
              <w:t>General Medicine / Dr. S. Rao</w:t>
            </w:r>
          </w:p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digitalassets.jointcommission.org/api/public/content/94389f1cc45940fd90d7954147cac4c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