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AAC.5.d — Imaging results are available in the standardised manner within a defined time frame.</w:t>
      </w:r>
    </w:p>
    <w:p>
      <w:r>
        <w:t>AAC.5 Record 01 — Pre-imaging safety screening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Patient ID: The patient's unique identifier.</w:t>
      </w:r>
    </w:p>
    <w:p>
      <w:pPr>
        <w:pStyle w:val="ListParagraph"/>
      </w:pPr>
      <w:r>
        <w:t>Study: The imaging study ordered.</w:t>
      </w:r>
    </w:p>
    <w:p>
      <w:pPr>
        <w:pStyle w:val="ListParagraph"/>
      </w:pPr>
      <w:r>
        <w:t>Pregnancy Status Screened (Y/N/A): Applicable for radiation studies, childbearing age.</w:t>
      </w:r>
    </w:p>
    <w:p>
      <w:pPr>
        <w:pStyle w:val="ListParagraph"/>
      </w:pPr>
      <w:r>
        <w:t>Contrast Allergy/Renal History Screened (Y/N/A): Applicable for contrast studies.</w:t>
      </w:r>
    </w:p>
    <w:p>
      <w:pPr>
        <w:pStyle w:val="ListParagraph"/>
      </w:pPr>
      <w:r>
        <w:t>Cleared to Proceed (Y/N): Whether the study proceeded as planned.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40" w:before="8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confirms every applicable patient was actually screened for pregnancy or contrast-allergy risk before a radiation-based or contrast-enhanced study proceeded.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Imaging staff log this immediately before the study. The worked example shows a contrast CT cleared after an allergy and renal-function check.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radiation or contrast study performed with no documented safety screen cannot be shown to have actually checked for the specific risks that screen exists to catch.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Patient ID</w:t>
            </w:r>
          </w:p>
        </w:tc>
        <w:tc>
          <w:tcPr>
            <w:tcW w:type="dxa" w:w="1728"/>
          </w:tcPr>
          <w:p>
            <w:r>
              <w:t>Study</w:t>
            </w:r>
          </w:p>
        </w:tc>
        <w:tc>
          <w:tcPr>
            <w:tcW w:type="dxa" w:w="1728"/>
          </w:tcPr>
          <w:p>
            <w:r>
              <w:t>Pregnancy Status Screened (Y/N/A)</w:t>
            </w:r>
          </w:p>
        </w:tc>
        <w:tc>
          <w:tcPr>
            <w:tcW w:type="dxa" w:w="1728"/>
          </w:tcPr>
          <w:p>
            <w:r>
              <w:t>Contrast Allergy/Renal History Screened (Y/N/A)</w:t>
            </w:r>
          </w:p>
        </w:tc>
        <w:tc>
          <w:tcPr>
            <w:tcW w:type="dxa" w:w="1728"/>
          </w:tcPr>
          <w:p>
            <w:r>
              <w:t>Cleared to Proceed (Y/N)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SHC-2026-00165</w:t>
            </w:r>
          </w:p>
        </w:tc>
        <w:tc>
          <w:tcPr>
            <w:tcW w:type="dxa" w:w="1728"/>
            <w:shd w:val="clear" w:color="auto" w:fill="FFF2CC"/>
          </w:tcPr>
          <w:p>
            <w:r>
              <w:t>CT Abdomen with contrast</w:t>
            </w:r>
          </w:p>
        </w:tc>
        <w:tc>
          <w:tcPr>
            <w:tcW w:type="dxa" w:w="1728"/>
            <w:shd w:val="clear" w:color="auto" w:fill="FFF2CC"/>
          </w:tcPr>
          <w:p>
            <w:r>
              <w:t>N/A — male patient</w:t>
            </w:r>
          </w:p>
        </w:tc>
        <w:tc>
          <w:tcPr>
            <w:tcW w:type="dxa" w:w="1728"/>
            <w:shd w:val="clear" w:color="auto" w:fill="FFF2CC"/>
          </w:tcPr>
          <w:p>
            <w:r>
              <w:t>Y — no known allergy, renal function normal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